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8B" w:rsidRPr="008F0C6B" w:rsidRDefault="00AC1F3A" w:rsidP="006E5CB6">
      <w:pPr>
        <w:tabs>
          <w:tab w:val="left" w:pos="446"/>
          <w:tab w:val="left" w:pos="907"/>
        </w:tabs>
        <w:rPr>
          <w:rFonts w:ascii="Times New Roman" w:hAnsi="Times New Roman"/>
          <w:b/>
          <w:sz w:val="36"/>
          <w:szCs w:val="36"/>
        </w:rPr>
      </w:pPr>
      <w:r w:rsidRPr="00632FB7">
        <w:rPr>
          <w:rFonts w:ascii="Times New Roman" w:hAnsi="Times New Roman"/>
          <w:b/>
          <w:sz w:val="36"/>
          <w:szCs w:val="36"/>
          <w:lang w:val="lt-LT"/>
        </w:rPr>
        <w:t>Testo klausimai</w:t>
      </w:r>
    </w:p>
    <w:p w:rsidR="008F0C6B" w:rsidRDefault="00AC1F3A" w:rsidP="006E5CB6">
      <w:pPr>
        <w:tabs>
          <w:tab w:val="left" w:pos="446"/>
          <w:tab w:val="left" w:pos="907"/>
        </w:tabs>
        <w:rPr>
          <w:rFonts w:ascii="Times New Roman" w:hAnsi="Times New Roman"/>
          <w:szCs w:val="24"/>
        </w:rPr>
      </w:pP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1. Jeigu investuotojai turi vienodus lūkesčius, rinka yra efektyvi, nėra mokesčių, transakcijų kaštų ir bankroto kaštų, tuomet 1-oji Modigliani ir Miller teorema teigia, kad:</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A. didėjant sve</w:t>
      </w:r>
      <w:r w:rsidRPr="00C07C92">
        <w:rPr>
          <w:rFonts w:ascii="Times New Roman" w:hAnsi="Times New Roman"/>
          <w:szCs w:val="24"/>
          <w:lang w:val="lt-LT"/>
        </w:rPr>
        <w:t>rtui, didėja ir bankroto rizika.</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 xml:space="preserve">B. vadovai </w:t>
      </w:r>
      <w:r w:rsidRPr="00C07C92">
        <w:rPr>
          <w:rFonts w:ascii="Times New Roman" w:hAnsi="Times New Roman"/>
          <w:szCs w:val="24"/>
          <w:lang w:val="lt-LT"/>
        </w:rPr>
        <w:t>negali pakeisti įmonės vertės nau</w:t>
      </w:r>
      <w:r w:rsidRPr="00C07C92">
        <w:rPr>
          <w:rFonts w:ascii="Times New Roman" w:hAnsi="Times New Roman"/>
          <w:szCs w:val="24"/>
          <w:lang w:val="lt-LT"/>
        </w:rPr>
        <w:t>dodami daugiau ar mažiau skolos.</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C. vadovai negali padidinti įmonės vertės taikydami mokesčių taupymo strategijas.</w:t>
      </w:r>
    </w:p>
    <w:p w:rsidR="005659B5" w:rsidRDefault="00AC1F3A" w:rsidP="00C07C92">
      <w:pPr>
        <w:tabs>
          <w:tab w:val="left" w:pos="446"/>
          <w:tab w:val="left" w:pos="907"/>
        </w:tabs>
        <w:rPr>
          <w:rFonts w:ascii="Times New Roman" w:hAnsi="Times New Roman"/>
          <w:szCs w:val="24"/>
        </w:rPr>
      </w:pP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2. Anot 2-osios Modigliani ir Miller teoremos, kai nėra mokesčių:</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A. sprendimas dėl kapitalo struktūros net</w:t>
      </w:r>
      <w:r w:rsidRPr="00C07C92">
        <w:rPr>
          <w:rFonts w:ascii="Times New Roman" w:hAnsi="Times New Roman"/>
          <w:szCs w:val="24"/>
          <w:lang w:val="lt-LT"/>
        </w:rPr>
        <w:t>uri p</w:t>
      </w:r>
      <w:r w:rsidRPr="00C07C92">
        <w:rPr>
          <w:rFonts w:ascii="Times New Roman" w:hAnsi="Times New Roman"/>
          <w:szCs w:val="24"/>
          <w:lang w:val="lt-LT"/>
        </w:rPr>
        <w:t>oveikio nuosavo kapitalo kainai.</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 xml:space="preserve">B. sprendimai dėl investicijų ir kapitalo struktūros </w:t>
      </w:r>
      <w:r w:rsidRPr="00C07C92">
        <w:rPr>
          <w:rFonts w:ascii="Times New Roman" w:hAnsi="Times New Roman"/>
          <w:szCs w:val="24"/>
          <w:lang w:val="lt-LT"/>
        </w:rPr>
        <w:t>yra vienas nuo kito priklausomi.</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C. kapitalo struktūroje didėjant skolos lygiui, didėja nuosavo kapitalo kaina.</w:t>
      </w:r>
    </w:p>
    <w:p w:rsidR="005659B5" w:rsidRDefault="00AC1F3A" w:rsidP="00C07C92">
      <w:pPr>
        <w:tabs>
          <w:tab w:val="left" w:pos="446"/>
          <w:tab w:val="left" w:pos="907"/>
        </w:tabs>
        <w:rPr>
          <w:rFonts w:ascii="Times New Roman" w:hAnsi="Times New Roman"/>
          <w:szCs w:val="24"/>
        </w:rPr>
      </w:pPr>
    </w:p>
    <w:p w:rsidR="00C07C92" w:rsidRPr="00F308C6" w:rsidRDefault="00AC1F3A" w:rsidP="00C07C92">
      <w:pPr>
        <w:tabs>
          <w:tab w:val="left" w:pos="446"/>
          <w:tab w:val="left" w:pos="907"/>
        </w:tabs>
        <w:rPr>
          <w:rFonts w:ascii="Times New Roman" w:hAnsi="Times New Roman"/>
          <w:szCs w:val="24"/>
          <w:lang w:val="lt-LT"/>
        </w:rPr>
      </w:pPr>
      <w:r w:rsidRPr="00C07C92">
        <w:rPr>
          <w:rFonts w:ascii="Times New Roman" w:hAnsi="Times New Roman"/>
          <w:szCs w:val="24"/>
          <w:lang w:val="lt-LT"/>
        </w:rPr>
        <w:t>3. Įsivaizduokite, kad „Gadget Company“ vidutiniai s</w:t>
      </w:r>
      <w:r w:rsidRPr="00C07C92">
        <w:rPr>
          <w:rFonts w:ascii="Times New Roman" w:hAnsi="Times New Roman"/>
          <w:szCs w:val="24"/>
          <w:lang w:val="lt-LT"/>
        </w:rPr>
        <w:t>vertiniai kapitalo kaštai yra 10 procentų. Jeigu „Gadget</w:t>
      </w:r>
      <w:r w:rsidRPr="00C07C92">
        <w:rPr>
          <w:rFonts w:ascii="Times New Roman" w:hAnsi="Times New Roman"/>
          <w:szCs w:val="24"/>
          <w:lang w:val="lt-LT"/>
        </w:rPr>
        <w:t>“ kapitalo struktūrą sudaro 50 procentų skolos ir 50 procentų nuosavybės, skolos kaina neatskaičius mokesčių yra 5 procentai, o ribinis mokesčių tarifas yra 20 procentų, tuomet įmonės nuosavo kapitalo</w:t>
      </w:r>
      <w:r w:rsidRPr="00C07C92">
        <w:rPr>
          <w:rFonts w:ascii="Times New Roman" w:hAnsi="Times New Roman"/>
          <w:szCs w:val="24"/>
          <w:lang w:val="lt-LT"/>
        </w:rPr>
        <w:t xml:space="preserve"> kaina yra artimiausia:</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A. 12 procentų.</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B. 14 procentų.</w:t>
      </w: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C. 16 procentų.</w:t>
      </w:r>
    </w:p>
    <w:p w:rsidR="005659B5" w:rsidRDefault="00AC1F3A" w:rsidP="00C07C92">
      <w:pPr>
        <w:tabs>
          <w:tab w:val="left" w:pos="446"/>
          <w:tab w:val="left" w:pos="907"/>
        </w:tabs>
        <w:rPr>
          <w:rFonts w:ascii="Times New Roman" w:hAnsi="Times New Roman"/>
          <w:szCs w:val="24"/>
        </w:rPr>
      </w:pPr>
    </w:p>
    <w:p w:rsidR="00C07C92" w:rsidRPr="00C07C92"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4. Dabartiniai „Van der Welde“ vidutiniai svertiniai kapitalo kaštai (WACC) yra 10 procentų. Įmonė paskelbė paskolos pasiūlymą, dėl kurio WACC padidėtų iki 13 procentų. Labiausiai tik</w:t>
      </w:r>
      <w:r w:rsidRPr="00C07C92">
        <w:rPr>
          <w:rFonts w:ascii="Times New Roman" w:hAnsi="Times New Roman"/>
          <w:szCs w:val="24"/>
          <w:lang w:val="lt-LT"/>
        </w:rPr>
        <w:t>ėtina išvada apie „Van der Welde“ yra:</w:t>
      </w:r>
    </w:p>
    <w:p w:rsidR="008F0C6B" w:rsidRDefault="00AC1F3A" w:rsidP="00C07C92">
      <w:pPr>
        <w:tabs>
          <w:tab w:val="left" w:pos="446"/>
          <w:tab w:val="left" w:pos="907"/>
        </w:tabs>
        <w:rPr>
          <w:rFonts w:ascii="Times New Roman" w:hAnsi="Times New Roman"/>
          <w:szCs w:val="24"/>
        </w:rPr>
      </w:pPr>
      <w:r w:rsidRPr="00C07C92">
        <w:rPr>
          <w:rFonts w:ascii="Times New Roman" w:hAnsi="Times New Roman"/>
          <w:szCs w:val="24"/>
          <w:lang w:val="lt-LT"/>
        </w:rPr>
        <w:t>A. įmonės perspektyvos gerėja.</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B. nuosavybės finansavimas yra p</w:t>
      </w:r>
      <w:r w:rsidRPr="005659B5">
        <w:rPr>
          <w:rFonts w:ascii="Times New Roman" w:hAnsi="Times New Roman"/>
          <w:szCs w:val="24"/>
          <w:lang w:val="lt-LT"/>
        </w:rPr>
        <w:t>igesnis nei skolos finansavimas.</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C. įmonės skolos/nuosavybės santykis nukrypo nuo optimalaus lygio.</w:t>
      </w:r>
    </w:p>
    <w:p w:rsidR="005659B5" w:rsidRDefault="00AC1F3A" w:rsidP="005659B5">
      <w:pPr>
        <w:tabs>
          <w:tab w:val="left" w:pos="446"/>
          <w:tab w:val="left" w:pos="907"/>
        </w:tabs>
        <w:rPr>
          <w:rFonts w:ascii="Times New Roman" w:hAnsi="Times New Roman"/>
          <w:szCs w:val="24"/>
        </w:rPr>
      </w:pP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 xml:space="preserve">5. Jeigu visi kiti veiksniai būtų vienodi, tikėtina, </w:t>
      </w:r>
      <w:r w:rsidRPr="005659B5">
        <w:rPr>
          <w:rFonts w:ascii="Times New Roman" w:hAnsi="Times New Roman"/>
          <w:szCs w:val="24"/>
          <w:lang w:val="lt-LT"/>
        </w:rPr>
        <w:t>kad ilgalaikių skolų būtų imama daugiau tose rinkose, kur:</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A. yra maža infliacija.</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B. kapitalo rink</w:t>
      </w:r>
      <w:r w:rsidRPr="005659B5">
        <w:rPr>
          <w:rFonts w:ascii="Times New Roman" w:hAnsi="Times New Roman"/>
          <w:szCs w:val="24"/>
          <w:lang w:val="lt-LT"/>
        </w:rPr>
        <w:t>os yra pasyvios ir nelikvidžios.</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C. teisinė obligacijų turėtojų interesų apsauga yra silpna.</w:t>
      </w:r>
    </w:p>
    <w:p w:rsidR="005659B5" w:rsidRDefault="00AC1F3A" w:rsidP="005659B5">
      <w:pPr>
        <w:tabs>
          <w:tab w:val="left" w:pos="446"/>
          <w:tab w:val="left" w:pos="907"/>
        </w:tabs>
        <w:rPr>
          <w:rFonts w:ascii="Times New Roman" w:hAnsi="Times New Roman"/>
          <w:szCs w:val="24"/>
        </w:rPr>
      </w:pP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 xml:space="preserve">6. Anot pasirinkimo eilės teorijos (angl. „pecking order </w:t>
      </w:r>
      <w:r w:rsidRPr="005659B5">
        <w:rPr>
          <w:rFonts w:ascii="Times New Roman" w:hAnsi="Times New Roman"/>
          <w:szCs w:val="24"/>
          <w:lang w:val="lt-LT"/>
        </w:rPr>
        <w:t>theory“):</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A. nauja skola labiau p</w:t>
      </w:r>
      <w:r w:rsidRPr="005659B5">
        <w:rPr>
          <w:rFonts w:ascii="Times New Roman" w:hAnsi="Times New Roman"/>
          <w:szCs w:val="24"/>
          <w:lang w:val="lt-LT"/>
        </w:rPr>
        <w:t>ageidaujama nei nauja nuosavybė.</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B. nauja skola labiau pageidaujama nei vidinės lėšos.</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C. nauja nuosavybė labiau pageidaujama nei kiti kapitalo šaltiniai.</w:t>
      </w:r>
    </w:p>
    <w:p w:rsidR="005659B5" w:rsidRDefault="00AC1F3A" w:rsidP="005659B5">
      <w:pPr>
        <w:tabs>
          <w:tab w:val="left" w:pos="446"/>
          <w:tab w:val="left" w:pos="907"/>
        </w:tabs>
        <w:rPr>
          <w:rFonts w:ascii="Times New Roman" w:hAnsi="Times New Roman"/>
          <w:szCs w:val="24"/>
        </w:rPr>
      </w:pP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7. Anot statinės kompromisų teorijos:</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 xml:space="preserve">A. skola turėtų būti </w:t>
      </w:r>
      <w:r w:rsidRPr="005659B5">
        <w:rPr>
          <w:rFonts w:ascii="Times New Roman" w:hAnsi="Times New Roman"/>
          <w:szCs w:val="24"/>
          <w:lang w:val="lt-LT"/>
        </w:rPr>
        <w:t>naudojama tik kaip paskutinė priemonė.</w:t>
      </w: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B. įmonės turi optimalų skolos lygį.</w:t>
      </w:r>
    </w:p>
    <w:p w:rsidR="00C07C92" w:rsidRDefault="00AC1F3A" w:rsidP="005659B5">
      <w:pPr>
        <w:tabs>
          <w:tab w:val="left" w:pos="446"/>
          <w:tab w:val="left" w:pos="907"/>
        </w:tabs>
        <w:rPr>
          <w:rFonts w:ascii="Times New Roman" w:hAnsi="Times New Roman"/>
          <w:szCs w:val="24"/>
          <w:lang w:val="lt-LT"/>
        </w:rPr>
      </w:pPr>
      <w:r w:rsidRPr="005659B5">
        <w:rPr>
          <w:rFonts w:ascii="Times New Roman" w:hAnsi="Times New Roman"/>
          <w:szCs w:val="24"/>
          <w:lang w:val="lt-LT"/>
        </w:rPr>
        <w:t>C. sprendimas dėl kapitalo struktūros yra neturi reikšmės.</w:t>
      </w:r>
    </w:p>
    <w:p w:rsidR="00203D6A" w:rsidRDefault="00203D6A" w:rsidP="005659B5">
      <w:pPr>
        <w:tabs>
          <w:tab w:val="left" w:pos="446"/>
          <w:tab w:val="left" w:pos="907"/>
        </w:tabs>
        <w:rPr>
          <w:rFonts w:ascii="Times New Roman" w:hAnsi="Times New Roman"/>
          <w:szCs w:val="24"/>
          <w:lang w:val="lt-LT"/>
        </w:rPr>
      </w:pPr>
    </w:p>
    <w:p w:rsidR="00203D6A" w:rsidRDefault="00203D6A" w:rsidP="005659B5">
      <w:pPr>
        <w:tabs>
          <w:tab w:val="left" w:pos="446"/>
          <w:tab w:val="left" w:pos="907"/>
        </w:tabs>
        <w:rPr>
          <w:rFonts w:ascii="Times New Roman" w:hAnsi="Times New Roman"/>
          <w:szCs w:val="24"/>
          <w:lang w:val="lt-LT"/>
        </w:rPr>
      </w:pPr>
    </w:p>
    <w:p w:rsidR="00203D6A" w:rsidRDefault="00203D6A" w:rsidP="005659B5">
      <w:pPr>
        <w:tabs>
          <w:tab w:val="left" w:pos="446"/>
          <w:tab w:val="left" w:pos="907"/>
        </w:tabs>
        <w:rPr>
          <w:rFonts w:ascii="Times New Roman" w:hAnsi="Times New Roman"/>
          <w:szCs w:val="24"/>
        </w:rPr>
      </w:pPr>
    </w:p>
    <w:p w:rsidR="005659B5" w:rsidRPr="005659B5" w:rsidRDefault="00AC1F3A" w:rsidP="005659B5">
      <w:pPr>
        <w:tabs>
          <w:tab w:val="left" w:pos="446"/>
          <w:tab w:val="left" w:pos="907"/>
        </w:tabs>
        <w:rPr>
          <w:rFonts w:ascii="Times New Roman" w:hAnsi="Times New Roman"/>
          <w:b/>
          <w:sz w:val="28"/>
          <w:szCs w:val="28"/>
        </w:rPr>
      </w:pPr>
      <w:r w:rsidRPr="005659B5">
        <w:rPr>
          <w:rFonts w:ascii="Times New Roman" w:hAnsi="Times New Roman"/>
          <w:b/>
          <w:sz w:val="28"/>
          <w:szCs w:val="28"/>
          <w:lang w:val="lt-LT"/>
        </w:rPr>
        <w:lastRenderedPageBreak/>
        <w:t>Toliau pateikta informacija susijusi su 8–13 klausimais</w:t>
      </w:r>
    </w:p>
    <w:p w:rsidR="005659B5" w:rsidRDefault="00AC1F3A" w:rsidP="005659B5">
      <w:pPr>
        <w:tabs>
          <w:tab w:val="left" w:pos="446"/>
          <w:tab w:val="left" w:pos="907"/>
        </w:tabs>
        <w:rPr>
          <w:rFonts w:ascii="Times New Roman" w:hAnsi="Times New Roman"/>
          <w:szCs w:val="24"/>
        </w:rPr>
      </w:pPr>
    </w:p>
    <w:p w:rsidR="005659B5" w:rsidRPr="005659B5"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Barbara Andrade yra nuosavo kapitalo analitikė, kuri „Greengable</w:t>
      </w:r>
      <w:r w:rsidRPr="005659B5">
        <w:rPr>
          <w:rFonts w:ascii="Times New Roman" w:hAnsi="Times New Roman"/>
          <w:szCs w:val="24"/>
          <w:lang w:val="lt-LT"/>
        </w:rPr>
        <w:t xml:space="preserve"> Capital Partners“ bendrovei, didelei pasaulinei turto valdytojai, analizuoja pramogų verslą. „Greengable“ turi reikšmingo dydžio nerealizuoto kapitalo prieaugio poziciją „Mosely Broadcast Group“ (MBG) įmonėje. Neseniai vykusiame pasitarime MBG vadovybė pa</w:t>
      </w:r>
      <w:r w:rsidRPr="005659B5">
        <w:rPr>
          <w:rFonts w:ascii="Times New Roman" w:hAnsi="Times New Roman"/>
          <w:szCs w:val="24"/>
          <w:lang w:val="lt-LT"/>
        </w:rPr>
        <w:t>reiškė, kad ji planuoja padidinti skolos dalį įmonės kapitalo struktūroje. Andrade nerimauja, kad bet kokie pokyčiai MBG kapitalo struktūroje neigiamai paveiks „Greengable“ investicijos vertę.</w:t>
      </w:r>
    </w:p>
    <w:p w:rsidR="00C07C92" w:rsidRDefault="00AC1F3A" w:rsidP="005659B5">
      <w:pPr>
        <w:tabs>
          <w:tab w:val="left" w:pos="446"/>
          <w:tab w:val="left" w:pos="907"/>
        </w:tabs>
        <w:rPr>
          <w:rFonts w:ascii="Times New Roman" w:hAnsi="Times New Roman"/>
          <w:szCs w:val="24"/>
        </w:rPr>
      </w:pPr>
      <w:r w:rsidRPr="005659B5">
        <w:rPr>
          <w:rFonts w:ascii="Times New Roman" w:hAnsi="Times New Roman"/>
          <w:szCs w:val="24"/>
          <w:lang w:val="lt-LT"/>
        </w:rPr>
        <w:t>Norėdama įvertinti galimą tokio kapitalos struktūros pokyčio po</w:t>
      </w:r>
      <w:r w:rsidRPr="005659B5">
        <w:rPr>
          <w:rFonts w:ascii="Times New Roman" w:hAnsi="Times New Roman"/>
          <w:szCs w:val="24"/>
          <w:lang w:val="lt-LT"/>
        </w:rPr>
        <w:t>veikį „Greengable“ investicijai, ji surenka informaciją apie MBG, kuri pateikta 1 lentelėje.</w:t>
      </w:r>
    </w:p>
    <w:p w:rsidR="00C07C92" w:rsidRDefault="00AC1F3A" w:rsidP="006E5CB6">
      <w:pPr>
        <w:tabs>
          <w:tab w:val="left" w:pos="446"/>
          <w:tab w:val="left" w:pos="907"/>
        </w:tabs>
        <w:rPr>
          <w:rFonts w:ascii="Times New Roman" w:hAnsi="Times New Roman"/>
          <w:szCs w:val="24"/>
        </w:rPr>
      </w:pPr>
    </w:p>
    <w:p w:rsidR="00C07C92" w:rsidRDefault="00AC1F3A" w:rsidP="006E5CB6">
      <w:pPr>
        <w:tabs>
          <w:tab w:val="left" w:pos="446"/>
          <w:tab w:val="left" w:pos="907"/>
        </w:tabs>
        <w:rPr>
          <w:rFonts w:ascii="Times New Roman" w:hAnsi="Times New Roman"/>
          <w:szCs w:val="24"/>
        </w:rPr>
      </w:pPr>
      <w:r w:rsidRPr="005659B5">
        <w:rPr>
          <w:rFonts w:ascii="Times New Roman" w:hAnsi="Times New Roman"/>
          <w:szCs w:val="24"/>
          <w:lang w:val="lt-LT"/>
        </w:rPr>
        <w:t>1 lentelė. Dabartinė atrinkta finansinė informacija apie MBG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302"/>
      </w:tblGrid>
      <w:tr w:rsidR="00D20038" w:rsidTr="00AE3C50">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Skolos pajamingumas iki išpirkimo</w:t>
            </w:r>
          </w:p>
        </w:tc>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8,00 %</w:t>
            </w:r>
          </w:p>
        </w:tc>
      </w:tr>
      <w:tr w:rsidR="00D20038" w:rsidTr="00AE3C50">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Skolos rinkos vertė</w:t>
            </w:r>
          </w:p>
        </w:tc>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100 mln. $</w:t>
            </w:r>
          </w:p>
        </w:tc>
      </w:tr>
      <w:tr w:rsidR="00D20038" w:rsidTr="00AE3C50">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Paprastųjų akcijų skaičius</w:t>
            </w:r>
          </w:p>
        </w:tc>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10 mln.</w:t>
            </w:r>
          </w:p>
        </w:tc>
      </w:tr>
      <w:tr w:rsidR="00D20038" w:rsidTr="00AE3C50">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Vienos paprastosios akcijos rinkos kaina</w:t>
            </w:r>
          </w:p>
        </w:tc>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30 $</w:t>
            </w:r>
          </w:p>
        </w:tc>
      </w:tr>
      <w:tr w:rsidR="00D20038" w:rsidTr="00AE3C50">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Kapitalo kaštai, jeigu būtų finansuojama vien nuosavybe</w:t>
            </w:r>
          </w:p>
        </w:tc>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10,3 %</w:t>
            </w:r>
          </w:p>
        </w:tc>
      </w:tr>
      <w:tr w:rsidR="00D20038" w:rsidTr="00AE3C50">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Ribinis mokesčių tarifas</w:t>
            </w:r>
          </w:p>
        </w:tc>
        <w:tc>
          <w:tcPr>
            <w:tcW w:w="4428" w:type="dxa"/>
            <w:shd w:val="clear" w:color="auto" w:fill="auto"/>
          </w:tcPr>
          <w:p w:rsidR="005659B5"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35 %</w:t>
            </w:r>
          </w:p>
        </w:tc>
      </w:tr>
    </w:tbl>
    <w:p w:rsidR="00C07C92" w:rsidRDefault="00AC1F3A" w:rsidP="006E5CB6">
      <w:pPr>
        <w:tabs>
          <w:tab w:val="left" w:pos="446"/>
          <w:tab w:val="left" w:pos="907"/>
        </w:tabs>
        <w:rPr>
          <w:rFonts w:ascii="Times New Roman" w:hAnsi="Times New Roman"/>
          <w:szCs w:val="24"/>
        </w:rPr>
      </w:pPr>
    </w:p>
    <w:p w:rsidR="00C07C92" w:rsidRPr="00F308C6" w:rsidRDefault="00AC1F3A" w:rsidP="00B07904">
      <w:pPr>
        <w:tabs>
          <w:tab w:val="left" w:pos="446"/>
          <w:tab w:val="left" w:pos="907"/>
        </w:tabs>
        <w:rPr>
          <w:rFonts w:ascii="Times New Roman" w:hAnsi="Times New Roman"/>
          <w:szCs w:val="24"/>
          <w:lang w:val="lt-LT"/>
        </w:rPr>
      </w:pPr>
      <w:r w:rsidRPr="00B07904">
        <w:rPr>
          <w:rFonts w:ascii="Times New Roman" w:hAnsi="Times New Roman"/>
          <w:szCs w:val="24"/>
          <w:lang w:val="lt-LT"/>
        </w:rPr>
        <w:t xml:space="preserve">Andrade tikisi, kad MBG finansinio sverto padidinimas padidins įmonės skolos ir nuosavybės kaštus. </w:t>
      </w:r>
      <w:r w:rsidRPr="00B07904">
        <w:rPr>
          <w:rFonts w:ascii="Times New Roman" w:hAnsi="Times New Roman"/>
          <w:szCs w:val="24"/>
          <w:lang w:val="lt-LT"/>
        </w:rPr>
        <w:t>Remdamasi panašių įmonių MBG verslo šakoje įvertinimu, Andrade apskaičiuoja MBG skolos kaštus ir nuosavybės kaštus įvairiais skolos ir turto santykiais, kaip parodyta 2 lentelėje.</w:t>
      </w:r>
    </w:p>
    <w:p w:rsidR="00C07C92" w:rsidRPr="00F308C6" w:rsidRDefault="00AC1F3A" w:rsidP="006E5CB6">
      <w:pPr>
        <w:tabs>
          <w:tab w:val="left" w:pos="446"/>
          <w:tab w:val="left" w:pos="907"/>
        </w:tabs>
        <w:rPr>
          <w:rFonts w:ascii="Times New Roman" w:hAnsi="Times New Roman"/>
          <w:szCs w:val="24"/>
          <w:lang w:val="lt-LT"/>
        </w:rPr>
      </w:pPr>
    </w:p>
    <w:p w:rsidR="00C07C92" w:rsidRPr="00F308C6" w:rsidRDefault="00AC1F3A" w:rsidP="006E5CB6">
      <w:pPr>
        <w:tabs>
          <w:tab w:val="left" w:pos="446"/>
          <w:tab w:val="left" w:pos="907"/>
        </w:tabs>
        <w:rPr>
          <w:rFonts w:ascii="Times New Roman" w:hAnsi="Times New Roman"/>
          <w:szCs w:val="24"/>
          <w:lang w:val="lt-LT"/>
        </w:rPr>
      </w:pPr>
      <w:r w:rsidRPr="00B07904">
        <w:rPr>
          <w:rFonts w:ascii="Times New Roman" w:hAnsi="Times New Roman"/>
          <w:szCs w:val="24"/>
          <w:lang w:val="lt-LT"/>
        </w:rPr>
        <w:t>2 lentelė. MBG skolos ir nuosavybės kaštai neatskaičius mokesčių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2468"/>
        <w:gridCol w:w="2889"/>
      </w:tblGrid>
      <w:tr w:rsidR="00D20038" w:rsidTr="00AE3C50">
        <w:tc>
          <w:tcPr>
            <w:tcW w:w="3369" w:type="dxa"/>
            <w:shd w:val="clear" w:color="auto" w:fill="auto"/>
          </w:tcPr>
          <w:p w:rsidR="00B07904"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 xml:space="preserve">Skolos ir </w:t>
            </w:r>
            <w:r w:rsidRPr="00AE3C50">
              <w:rPr>
                <w:rFonts w:ascii="Times New Roman" w:hAnsi="Times New Roman"/>
                <w:szCs w:val="24"/>
                <w:lang w:val="lt-LT"/>
              </w:rPr>
              <w:t>turto santykis (%)</w:t>
            </w:r>
          </w:p>
        </w:tc>
        <w:tc>
          <w:tcPr>
            <w:tcW w:w="2535" w:type="dxa"/>
            <w:shd w:val="clear" w:color="auto" w:fill="auto"/>
          </w:tcPr>
          <w:p w:rsidR="00B07904"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Skolos kaštai (%)</w:t>
            </w:r>
          </w:p>
        </w:tc>
        <w:tc>
          <w:tcPr>
            <w:tcW w:w="2952" w:type="dxa"/>
            <w:shd w:val="clear" w:color="auto" w:fill="auto"/>
          </w:tcPr>
          <w:p w:rsidR="00B07904"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Nuosavybės kaštai (%)</w:t>
            </w:r>
          </w:p>
        </w:tc>
      </w:tr>
      <w:tr w:rsidR="00D20038" w:rsidTr="00AE3C50">
        <w:tc>
          <w:tcPr>
            <w:tcW w:w="3369"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20</w:t>
            </w:r>
          </w:p>
        </w:tc>
        <w:tc>
          <w:tcPr>
            <w:tcW w:w="2535"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7,7</w:t>
            </w:r>
          </w:p>
        </w:tc>
        <w:tc>
          <w:tcPr>
            <w:tcW w:w="2952"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12,5</w:t>
            </w:r>
          </w:p>
        </w:tc>
      </w:tr>
      <w:tr w:rsidR="00D20038" w:rsidTr="00AE3C50">
        <w:tc>
          <w:tcPr>
            <w:tcW w:w="3369"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30</w:t>
            </w:r>
          </w:p>
        </w:tc>
        <w:tc>
          <w:tcPr>
            <w:tcW w:w="2535"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8,4</w:t>
            </w:r>
          </w:p>
        </w:tc>
        <w:tc>
          <w:tcPr>
            <w:tcW w:w="2952"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13,0</w:t>
            </w:r>
          </w:p>
        </w:tc>
      </w:tr>
      <w:tr w:rsidR="00D20038" w:rsidTr="00AE3C50">
        <w:tc>
          <w:tcPr>
            <w:tcW w:w="3369"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40</w:t>
            </w:r>
          </w:p>
        </w:tc>
        <w:tc>
          <w:tcPr>
            <w:tcW w:w="2535"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9,3</w:t>
            </w:r>
          </w:p>
        </w:tc>
        <w:tc>
          <w:tcPr>
            <w:tcW w:w="2952"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14,0</w:t>
            </w:r>
          </w:p>
        </w:tc>
      </w:tr>
      <w:tr w:rsidR="00D20038" w:rsidTr="00AE3C50">
        <w:tc>
          <w:tcPr>
            <w:tcW w:w="3369"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50</w:t>
            </w:r>
          </w:p>
        </w:tc>
        <w:tc>
          <w:tcPr>
            <w:tcW w:w="2535"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10,4</w:t>
            </w:r>
          </w:p>
        </w:tc>
        <w:tc>
          <w:tcPr>
            <w:tcW w:w="2952" w:type="dxa"/>
            <w:shd w:val="clear" w:color="auto" w:fill="auto"/>
          </w:tcPr>
          <w:p w:rsidR="00B07904" w:rsidRPr="00AE3C50" w:rsidRDefault="00AC1F3A" w:rsidP="00AE3C50">
            <w:pPr>
              <w:tabs>
                <w:tab w:val="left" w:pos="446"/>
                <w:tab w:val="left" w:pos="907"/>
              </w:tabs>
              <w:jc w:val="center"/>
              <w:rPr>
                <w:rFonts w:ascii="Times New Roman" w:hAnsi="Times New Roman"/>
                <w:szCs w:val="24"/>
              </w:rPr>
            </w:pPr>
            <w:r w:rsidRPr="00AE3C50">
              <w:rPr>
                <w:rFonts w:ascii="Times New Roman" w:hAnsi="Times New Roman"/>
                <w:szCs w:val="24"/>
                <w:lang w:val="lt-LT"/>
              </w:rPr>
              <w:t>16,0</w:t>
            </w:r>
          </w:p>
        </w:tc>
      </w:tr>
    </w:tbl>
    <w:p w:rsidR="00C07C92" w:rsidRDefault="00AC1F3A" w:rsidP="00520334">
      <w:pPr>
        <w:tabs>
          <w:tab w:val="left" w:pos="446"/>
          <w:tab w:val="left" w:pos="907"/>
        </w:tabs>
        <w:rPr>
          <w:rFonts w:ascii="Times New Roman" w:hAnsi="Times New Roman"/>
          <w:szCs w:val="24"/>
        </w:rPr>
      </w:pP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8. MBG kapitalo struktūra šiuo metu yra artimiausia tokiam santykiui:</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A. 25 % skola ir 75 % nuosavybė.</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B. 33 % skola ir 66 % nuosavybė.</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 xml:space="preserve">C. 75 </w:t>
      </w:r>
      <w:r w:rsidRPr="00520334">
        <w:rPr>
          <w:rFonts w:ascii="Times New Roman" w:hAnsi="Times New Roman"/>
          <w:szCs w:val="24"/>
          <w:lang w:val="lt-LT"/>
        </w:rPr>
        <w:t>% skola ir 25 % nuosavybė.</w:t>
      </w:r>
    </w:p>
    <w:p w:rsidR="00DB220D" w:rsidRDefault="00AC1F3A" w:rsidP="00520334">
      <w:pPr>
        <w:tabs>
          <w:tab w:val="left" w:pos="446"/>
          <w:tab w:val="left" w:pos="907"/>
        </w:tabs>
        <w:rPr>
          <w:rFonts w:ascii="Times New Roman" w:hAnsi="Times New Roman"/>
          <w:szCs w:val="24"/>
        </w:rPr>
      </w:pP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9. Remiantis 1 ir 2 lentelėmis, dabartiniai MBG skolos kaštai atskaičius mokesčius yra artimiausi:</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A. 2,80 %.</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B. 5,20 %.</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C. 7,65 %.</w:t>
      </w:r>
    </w:p>
    <w:p w:rsidR="00DB220D" w:rsidRDefault="00AC1F3A" w:rsidP="00520334">
      <w:pPr>
        <w:tabs>
          <w:tab w:val="left" w:pos="446"/>
          <w:tab w:val="left" w:pos="907"/>
        </w:tabs>
        <w:rPr>
          <w:rFonts w:ascii="Times New Roman" w:hAnsi="Times New Roman"/>
          <w:szCs w:val="24"/>
        </w:rPr>
      </w:pP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10. Remiantis 1 ir 2 lentelėmis, dabartiniai MBG nuosavybės kaštai yra artimiausi:</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A. 10,30 %.</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lastRenderedPageBreak/>
        <w:t>B. 10,80 %.</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C. 12,75 %.</w:t>
      </w:r>
    </w:p>
    <w:p w:rsidR="00DB220D" w:rsidRDefault="00AC1F3A" w:rsidP="00520334">
      <w:pPr>
        <w:tabs>
          <w:tab w:val="left" w:pos="446"/>
          <w:tab w:val="left" w:pos="907"/>
        </w:tabs>
        <w:rPr>
          <w:rFonts w:ascii="Times New Roman" w:hAnsi="Times New Roman"/>
          <w:szCs w:val="24"/>
        </w:rPr>
      </w:pP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11. Remiantis 1 ir 2 lentelėmis, koks skolos ir turto santykis užtikrintų mažiausius MBG vidutinius svertinius kapitalo kaštus?</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A. 20 %.</w:t>
      </w:r>
    </w:p>
    <w:p w:rsidR="00520334" w:rsidRPr="00520334"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B. 30 %.</w:t>
      </w:r>
    </w:p>
    <w:p w:rsidR="00C07C92" w:rsidRDefault="00AC1F3A" w:rsidP="00520334">
      <w:pPr>
        <w:tabs>
          <w:tab w:val="left" w:pos="446"/>
          <w:tab w:val="left" w:pos="907"/>
        </w:tabs>
        <w:rPr>
          <w:rFonts w:ascii="Times New Roman" w:hAnsi="Times New Roman"/>
          <w:szCs w:val="24"/>
        </w:rPr>
      </w:pPr>
      <w:r w:rsidRPr="00520334">
        <w:rPr>
          <w:rFonts w:ascii="Times New Roman" w:hAnsi="Times New Roman"/>
          <w:szCs w:val="24"/>
          <w:lang w:val="lt-LT"/>
        </w:rPr>
        <w:t>C. 40 %.</w:t>
      </w:r>
    </w:p>
    <w:p w:rsidR="00B07904" w:rsidRDefault="00AC1F3A" w:rsidP="006E5CB6">
      <w:pPr>
        <w:tabs>
          <w:tab w:val="left" w:pos="446"/>
          <w:tab w:val="left" w:pos="907"/>
        </w:tabs>
        <w:rPr>
          <w:rFonts w:ascii="Times New Roman" w:hAnsi="Times New Roman"/>
          <w:szCs w:val="24"/>
        </w:rPr>
      </w:pPr>
    </w:p>
    <w:p w:rsidR="00DB220D" w:rsidRPr="00DB220D"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12. Jeigu veiklos pelnas būtų pastovus, ribinio mokesčių tarifo padidėjimas</w:t>
      </w:r>
      <w:r w:rsidRPr="00DB220D">
        <w:rPr>
          <w:rFonts w:ascii="Times New Roman" w:hAnsi="Times New Roman"/>
          <w:szCs w:val="24"/>
          <w:lang w:val="lt-LT"/>
        </w:rPr>
        <w:t xml:space="preserve"> iki 40 %:</w:t>
      </w:r>
    </w:p>
    <w:p w:rsidR="00DB220D" w:rsidRPr="00DB220D"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A. sumažintų skolos kapitalo kaštus.</w:t>
      </w:r>
    </w:p>
    <w:p w:rsidR="00DB220D" w:rsidRPr="00DB220D"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B. padidintų skolos kapitalo kaštus.</w:t>
      </w:r>
    </w:p>
    <w:p w:rsidR="00DB220D" w:rsidRPr="00DB220D"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C. įmonės kapitalo kaštų nepaveiktų.</w:t>
      </w:r>
    </w:p>
    <w:p w:rsidR="00DB220D" w:rsidRDefault="00AC1F3A" w:rsidP="00DB220D">
      <w:pPr>
        <w:tabs>
          <w:tab w:val="left" w:pos="446"/>
          <w:tab w:val="left" w:pos="907"/>
        </w:tabs>
        <w:rPr>
          <w:rFonts w:ascii="Times New Roman" w:hAnsi="Times New Roman"/>
          <w:szCs w:val="24"/>
        </w:rPr>
      </w:pPr>
    </w:p>
    <w:p w:rsidR="00DB220D" w:rsidRPr="00DB220D"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13. Anot pasirinkimo eilės teorijos (angl. „pecking order theory“), MBG paskelbtas kapitalo struktūros pokytis:</w:t>
      </w:r>
    </w:p>
    <w:p w:rsidR="00DB220D" w:rsidRPr="00DB220D"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A. yra optimalus, nes</w:t>
      </w:r>
      <w:r w:rsidRPr="00DB220D">
        <w:rPr>
          <w:rFonts w:ascii="Times New Roman" w:hAnsi="Times New Roman"/>
          <w:szCs w:val="24"/>
          <w:lang w:val="lt-LT"/>
        </w:rPr>
        <w:t>, atskaičius mokesčius, skola yra pigesnė už nuosavybę.</w:t>
      </w:r>
    </w:p>
    <w:p w:rsidR="00DB220D" w:rsidRPr="00DB220D"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B. gali būti optimalus, jei nauja paskola imama po to, kai kaip kapitalo pritraukimo šaltinis visiškai išnaudojama nauja nuosavybė.</w:t>
      </w:r>
    </w:p>
    <w:p w:rsidR="00B07904"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 xml:space="preserve">C. gali būti optimalus, jei nauja paskola imama po to, kai kaip </w:t>
      </w:r>
      <w:r w:rsidRPr="00DB220D">
        <w:rPr>
          <w:rFonts w:ascii="Times New Roman" w:hAnsi="Times New Roman"/>
          <w:szCs w:val="24"/>
          <w:lang w:val="lt-LT"/>
        </w:rPr>
        <w:t>kapitalo pritraukimo šaltinis visiškai išnaudojamos vidinės lėšos.</w:t>
      </w:r>
    </w:p>
    <w:p w:rsidR="00B07904" w:rsidRDefault="00AC1F3A" w:rsidP="006E5CB6">
      <w:pPr>
        <w:tabs>
          <w:tab w:val="left" w:pos="446"/>
          <w:tab w:val="left" w:pos="907"/>
        </w:tabs>
        <w:rPr>
          <w:rFonts w:ascii="Times New Roman" w:hAnsi="Times New Roman"/>
          <w:szCs w:val="24"/>
        </w:rPr>
      </w:pPr>
    </w:p>
    <w:p w:rsidR="00DB220D" w:rsidRPr="00DB220D" w:rsidRDefault="00AC1F3A" w:rsidP="00DB220D">
      <w:pPr>
        <w:tabs>
          <w:tab w:val="left" w:pos="446"/>
          <w:tab w:val="left" w:pos="907"/>
        </w:tabs>
        <w:rPr>
          <w:rFonts w:ascii="Times New Roman" w:hAnsi="Times New Roman"/>
          <w:b/>
          <w:sz w:val="28"/>
          <w:szCs w:val="28"/>
        </w:rPr>
      </w:pPr>
      <w:r w:rsidRPr="00DB220D">
        <w:rPr>
          <w:rFonts w:ascii="Times New Roman" w:hAnsi="Times New Roman"/>
          <w:b/>
          <w:sz w:val="28"/>
          <w:szCs w:val="28"/>
          <w:lang w:val="lt-LT"/>
        </w:rPr>
        <w:t>Toliau pateikta informacija susijusi su 14–19 klausimais</w:t>
      </w:r>
    </w:p>
    <w:p w:rsidR="00DB220D" w:rsidRDefault="00AC1F3A" w:rsidP="00DB220D">
      <w:pPr>
        <w:tabs>
          <w:tab w:val="left" w:pos="446"/>
          <w:tab w:val="left" w:pos="907"/>
        </w:tabs>
        <w:rPr>
          <w:rFonts w:ascii="Times New Roman" w:hAnsi="Times New Roman"/>
          <w:szCs w:val="24"/>
        </w:rPr>
      </w:pPr>
    </w:p>
    <w:p w:rsidR="00C07C92" w:rsidRDefault="00AC1F3A" w:rsidP="00DB220D">
      <w:pPr>
        <w:tabs>
          <w:tab w:val="left" w:pos="446"/>
          <w:tab w:val="left" w:pos="907"/>
        </w:tabs>
        <w:rPr>
          <w:rFonts w:ascii="Times New Roman" w:hAnsi="Times New Roman"/>
          <w:szCs w:val="24"/>
        </w:rPr>
      </w:pPr>
      <w:r w:rsidRPr="00DB220D">
        <w:rPr>
          <w:rFonts w:ascii="Times New Roman" w:hAnsi="Times New Roman"/>
          <w:szCs w:val="24"/>
          <w:lang w:val="lt-LT"/>
        </w:rPr>
        <w:t xml:space="preserve">Lindsay White, CFA, yra Londone įsikūrusios firmos analitikė. Ji atsakinga už penkių įmonių, veikiančių vartojimo prekių srityje, </w:t>
      </w:r>
      <w:r w:rsidRPr="00DB220D">
        <w:rPr>
          <w:rFonts w:ascii="Times New Roman" w:hAnsi="Times New Roman"/>
          <w:szCs w:val="24"/>
          <w:lang w:val="lt-LT"/>
        </w:rPr>
        <w:t>analizę. White mano, kad vietinė ir pasaulinė ekonomikos per ateinančius dvejus metus augs truputį žemiau vidurkio, bet jai taip pat nerimą kelią tikimybė, kad gali kilti nedidelė recesija. Jos buvo paprašyta peržiūrėti savo analizuojamas įmones ir ji suri</w:t>
      </w:r>
      <w:r w:rsidRPr="00DB220D">
        <w:rPr>
          <w:rFonts w:ascii="Times New Roman" w:hAnsi="Times New Roman"/>
          <w:szCs w:val="24"/>
          <w:lang w:val="lt-LT"/>
        </w:rPr>
        <w:t>nko apie jas informaciją, pateiktą 1 lentelėje. White vertinimu, artimiausioje ateityje visų penkių įmonių pelnas prieš palūkanas ir mokesčius (EBIT) išliks pastovus. Valiuta pateikta Britanijos svarais (£). Visų penkių įmonių ribinis pelno mokesčio tarifa</w:t>
      </w:r>
      <w:r w:rsidRPr="00DB220D">
        <w:rPr>
          <w:rFonts w:ascii="Times New Roman" w:hAnsi="Times New Roman"/>
          <w:szCs w:val="24"/>
          <w:lang w:val="lt-LT"/>
        </w:rPr>
        <w:t>s yra 30 %.</w:t>
      </w:r>
    </w:p>
    <w:p w:rsidR="00C07C92" w:rsidRDefault="00AC1F3A" w:rsidP="006E5CB6">
      <w:pPr>
        <w:tabs>
          <w:tab w:val="left" w:pos="446"/>
          <w:tab w:val="left" w:pos="907"/>
        </w:tabs>
        <w:rPr>
          <w:rFonts w:ascii="Times New Roman" w:hAnsi="Times New Roman"/>
          <w:szCs w:val="24"/>
        </w:rPr>
      </w:pPr>
    </w:p>
    <w:p w:rsidR="00C07C92" w:rsidRDefault="00AC1F3A" w:rsidP="006E5CB6">
      <w:pPr>
        <w:tabs>
          <w:tab w:val="left" w:pos="446"/>
          <w:tab w:val="left" w:pos="907"/>
        </w:tabs>
        <w:rPr>
          <w:rFonts w:ascii="Times New Roman" w:hAnsi="Times New Roman"/>
          <w:szCs w:val="24"/>
        </w:rPr>
      </w:pPr>
      <w:r w:rsidRPr="00DB220D">
        <w:rPr>
          <w:rFonts w:ascii="Times New Roman" w:hAnsi="Times New Roman"/>
          <w:szCs w:val="24"/>
          <w:lang w:val="lt-LT"/>
        </w:rPr>
        <w:t>1 lentelė. Atrinkti įmonių finansiniai duomenys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134"/>
        <w:gridCol w:w="1134"/>
        <w:gridCol w:w="1275"/>
        <w:gridCol w:w="1276"/>
      </w:tblGrid>
      <w:tr w:rsidR="00D20038" w:rsidTr="00AE3C50">
        <w:tc>
          <w:tcPr>
            <w:tcW w:w="3227" w:type="dxa"/>
            <w:shd w:val="clear" w:color="auto" w:fill="auto"/>
          </w:tcPr>
          <w:p w:rsidR="00DB220D" w:rsidRPr="00AE3C50" w:rsidRDefault="00AC1F3A" w:rsidP="00AE3C50">
            <w:pPr>
              <w:tabs>
                <w:tab w:val="left" w:pos="446"/>
                <w:tab w:val="left" w:pos="907"/>
              </w:tabs>
              <w:rPr>
                <w:rFonts w:ascii="Times New Roman" w:hAnsi="Times New Roman"/>
                <w:szCs w:val="24"/>
              </w:rPr>
            </w:pP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Aquarius</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Bema</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Garth</w:t>
            </w:r>
          </w:p>
        </w:tc>
        <w:tc>
          <w:tcPr>
            <w:tcW w:w="1275"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Holte</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Vega</w:t>
            </w:r>
          </w:p>
        </w:tc>
      </w:tr>
      <w:tr w:rsidR="00D20038" w:rsidTr="00AE3C50">
        <w:tc>
          <w:tcPr>
            <w:tcW w:w="3227"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EBIT (£)</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600 000</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600 000</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400 000</w:t>
            </w:r>
          </w:p>
        </w:tc>
        <w:tc>
          <w:tcPr>
            <w:tcW w:w="1275"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400 000</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400 000</w:t>
            </w:r>
          </w:p>
        </w:tc>
      </w:tr>
      <w:tr w:rsidR="00D20038" w:rsidTr="00AE3C50">
        <w:tc>
          <w:tcPr>
            <w:tcW w:w="3227"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Skolos ir nuosavybės santykis (rinkos vertė)</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0,60</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0,00</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0,00</w:t>
            </w:r>
          </w:p>
        </w:tc>
        <w:tc>
          <w:tcPr>
            <w:tcW w:w="1275"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0,71</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0,62</w:t>
            </w:r>
          </w:p>
        </w:tc>
      </w:tr>
      <w:tr w:rsidR="00D20038" w:rsidTr="00AE3C50">
        <w:tc>
          <w:tcPr>
            <w:tcW w:w="3227"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Skola (rinkos vertė) (£)</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2 000 000</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0</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0</w:t>
            </w:r>
          </w:p>
        </w:tc>
        <w:tc>
          <w:tcPr>
            <w:tcW w:w="1275"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2 000 000</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2 000 000</w:t>
            </w:r>
          </w:p>
        </w:tc>
      </w:tr>
      <w:tr w:rsidR="00D20038" w:rsidTr="00AE3C50">
        <w:tc>
          <w:tcPr>
            <w:tcW w:w="3227"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S&amp;P skolos reitingas</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 xml:space="preserve">A+ </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nėra duomenų</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nėra duomenų</w:t>
            </w:r>
          </w:p>
        </w:tc>
        <w:tc>
          <w:tcPr>
            <w:tcW w:w="1275"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A–</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A</w:t>
            </w:r>
          </w:p>
        </w:tc>
      </w:tr>
      <w:tr w:rsidR="00D20038" w:rsidTr="00AE3C50">
        <w:tc>
          <w:tcPr>
            <w:tcW w:w="3227"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Vidutiniai svertiniai kapitalo kaštai</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10 %</w:t>
            </w:r>
          </w:p>
        </w:tc>
        <w:tc>
          <w:tcPr>
            <w:tcW w:w="1134"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10 %</w:t>
            </w:r>
          </w:p>
        </w:tc>
        <w:tc>
          <w:tcPr>
            <w:tcW w:w="1275"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w:t>
            </w:r>
          </w:p>
        </w:tc>
        <w:tc>
          <w:tcPr>
            <w:tcW w:w="1276" w:type="dxa"/>
            <w:shd w:val="clear" w:color="auto" w:fill="auto"/>
          </w:tcPr>
          <w:p w:rsidR="00DB220D" w:rsidRPr="00AE3C50" w:rsidRDefault="00AC1F3A" w:rsidP="00AE3C50">
            <w:pPr>
              <w:tabs>
                <w:tab w:val="left" w:pos="446"/>
                <w:tab w:val="left" w:pos="907"/>
              </w:tabs>
              <w:rPr>
                <w:rFonts w:ascii="Times New Roman" w:hAnsi="Times New Roman"/>
                <w:szCs w:val="24"/>
              </w:rPr>
            </w:pPr>
            <w:r w:rsidRPr="00AE3C50">
              <w:rPr>
                <w:rFonts w:ascii="Times New Roman" w:hAnsi="Times New Roman"/>
                <w:szCs w:val="24"/>
                <w:lang w:val="lt-LT"/>
              </w:rPr>
              <w:t>—</w:t>
            </w:r>
          </w:p>
        </w:tc>
      </w:tr>
    </w:tbl>
    <w:p w:rsidR="00C07C92" w:rsidRDefault="00AC1F3A" w:rsidP="006E5CB6">
      <w:pPr>
        <w:tabs>
          <w:tab w:val="left" w:pos="446"/>
          <w:tab w:val="left" w:pos="907"/>
        </w:tabs>
        <w:rPr>
          <w:rFonts w:ascii="Times New Roman" w:hAnsi="Times New Roman"/>
          <w:szCs w:val="24"/>
        </w:rPr>
      </w:pPr>
    </w:p>
    <w:p w:rsidR="00F07410" w:rsidRDefault="00AC1F3A" w:rsidP="007C624A">
      <w:pPr>
        <w:tabs>
          <w:tab w:val="left" w:pos="446"/>
          <w:tab w:val="left" w:pos="907"/>
        </w:tabs>
        <w:rPr>
          <w:rFonts w:ascii="Times New Roman" w:hAnsi="Times New Roman"/>
          <w:szCs w:val="24"/>
        </w:rPr>
      </w:pPr>
      <w:r w:rsidRPr="007C624A">
        <w:rPr>
          <w:rFonts w:ascii="Times New Roman" w:hAnsi="Times New Roman"/>
          <w:szCs w:val="24"/>
          <w:lang w:val="lt-LT"/>
        </w:rPr>
        <w:t xml:space="preserve">Remdamasi pokalbiais su visų penkių įmonių vadovybėmis bei savo pačios nepriklausomu tyrimu bei analize, White pasižymėjo </w:t>
      </w:r>
      <w:r w:rsidRPr="007C624A">
        <w:rPr>
          <w:rFonts w:ascii="Times New Roman" w:hAnsi="Times New Roman"/>
          <w:szCs w:val="24"/>
          <w:lang w:val="lt-LT"/>
        </w:rPr>
        <w:t>tokią informaciją:</w:t>
      </w:r>
    </w:p>
    <w:p w:rsidR="007C624A" w:rsidRPr="007C624A" w:rsidRDefault="00AC1F3A" w:rsidP="007C624A">
      <w:pPr>
        <w:tabs>
          <w:tab w:val="left" w:pos="446"/>
          <w:tab w:val="left" w:pos="907"/>
        </w:tabs>
        <w:rPr>
          <w:rFonts w:ascii="Times New Roman" w:hAnsi="Times New Roman"/>
          <w:b/>
          <w:szCs w:val="24"/>
        </w:rPr>
      </w:pPr>
      <w:r w:rsidRPr="007C624A">
        <w:rPr>
          <w:rFonts w:ascii="Times New Roman" w:hAnsi="Times New Roman"/>
          <w:b/>
          <w:szCs w:val="24"/>
          <w:lang w:val="lt-LT"/>
        </w:rPr>
        <w:lastRenderedPageBreak/>
        <w:t>Aquarius:</w:t>
      </w:r>
    </w:p>
    <w:p w:rsidR="007C624A" w:rsidRPr="007C624A" w:rsidRDefault="00AC1F3A" w:rsidP="007C624A">
      <w:pPr>
        <w:tabs>
          <w:tab w:val="left" w:pos="446"/>
          <w:tab w:val="left" w:pos="907"/>
        </w:tabs>
        <w:rPr>
          <w:rFonts w:ascii="Times New Roman" w:hAnsi="Times New Roman"/>
          <w:szCs w:val="24"/>
        </w:rPr>
      </w:pPr>
      <w:r w:rsidRPr="007C624A">
        <w:rPr>
          <w:rFonts w:ascii="Cambria Math" w:hAnsi="Cambria Math" w:cs="Cambria Math"/>
          <w:szCs w:val="24"/>
          <w:lang w:val="lt-LT"/>
        </w:rPr>
        <w:t>◾</w:t>
      </w:r>
      <w:r w:rsidRPr="007C624A">
        <w:rPr>
          <w:rFonts w:ascii="Times New Roman" w:hAnsi="Times New Roman"/>
          <w:szCs w:val="24"/>
          <w:lang w:val="lt-LT"/>
        </w:rPr>
        <w:t xml:space="preserve"> turi mažesnius įsipareigojimų kaštus (angl. „bonding costs“) nei Bema.</w:t>
      </w:r>
    </w:p>
    <w:p w:rsidR="007C624A" w:rsidRPr="007C624A" w:rsidRDefault="00AC1F3A" w:rsidP="007C624A">
      <w:pPr>
        <w:tabs>
          <w:tab w:val="left" w:pos="446"/>
          <w:tab w:val="left" w:pos="907"/>
        </w:tabs>
        <w:rPr>
          <w:rFonts w:ascii="Times New Roman" w:hAnsi="Times New Roman"/>
          <w:szCs w:val="24"/>
        </w:rPr>
      </w:pPr>
      <w:r w:rsidRPr="007C624A">
        <w:rPr>
          <w:rFonts w:ascii="Cambria Math" w:hAnsi="Cambria Math" w:cs="Cambria Math"/>
          <w:szCs w:val="24"/>
          <w:lang w:val="lt-LT"/>
        </w:rPr>
        <w:t>◾</w:t>
      </w:r>
      <w:r w:rsidRPr="007C624A">
        <w:rPr>
          <w:rFonts w:ascii="Times New Roman" w:hAnsi="Times New Roman"/>
          <w:szCs w:val="24"/>
          <w:lang w:val="lt-LT"/>
        </w:rPr>
        <w:t xml:space="preserve"> turi didesnį materialaus turto procentą nuo viso turto nei Bema.</w:t>
      </w:r>
    </w:p>
    <w:p w:rsidR="00F07410" w:rsidRDefault="00AC1F3A" w:rsidP="007C624A">
      <w:pPr>
        <w:tabs>
          <w:tab w:val="left" w:pos="446"/>
          <w:tab w:val="left" w:pos="907"/>
        </w:tabs>
        <w:rPr>
          <w:rFonts w:ascii="Times New Roman" w:hAnsi="Times New Roman"/>
          <w:szCs w:val="24"/>
        </w:rPr>
      </w:pPr>
      <w:r w:rsidRPr="007C624A">
        <w:rPr>
          <w:rFonts w:ascii="Cambria Math" w:hAnsi="Cambria Math" w:cs="Cambria Math"/>
          <w:szCs w:val="24"/>
          <w:lang w:val="lt-LT"/>
        </w:rPr>
        <w:t>◾</w:t>
      </w:r>
      <w:r w:rsidRPr="007C624A">
        <w:rPr>
          <w:rFonts w:ascii="Times New Roman" w:hAnsi="Times New Roman"/>
          <w:szCs w:val="24"/>
          <w:lang w:val="lt-LT"/>
        </w:rPr>
        <w:t xml:space="preserve"> turi didesnį finansinį svertą nei Bema.</w:t>
      </w:r>
    </w:p>
    <w:p w:rsidR="00F07410" w:rsidRDefault="00AC1F3A" w:rsidP="006E5CB6">
      <w:pPr>
        <w:tabs>
          <w:tab w:val="left" w:pos="446"/>
          <w:tab w:val="left" w:pos="907"/>
        </w:tabs>
        <w:rPr>
          <w:rFonts w:ascii="Times New Roman" w:hAnsi="Times New Roman"/>
          <w:szCs w:val="24"/>
        </w:rPr>
      </w:pPr>
    </w:p>
    <w:p w:rsidR="007C624A" w:rsidRPr="007C624A" w:rsidRDefault="00AC1F3A" w:rsidP="007C624A">
      <w:pPr>
        <w:tabs>
          <w:tab w:val="left" w:pos="446"/>
          <w:tab w:val="left" w:pos="907"/>
        </w:tabs>
        <w:rPr>
          <w:rFonts w:ascii="Times New Roman" w:hAnsi="Times New Roman"/>
          <w:b/>
          <w:szCs w:val="24"/>
        </w:rPr>
      </w:pPr>
      <w:r w:rsidRPr="007C624A">
        <w:rPr>
          <w:rFonts w:ascii="Times New Roman" w:hAnsi="Times New Roman"/>
          <w:b/>
          <w:szCs w:val="24"/>
          <w:lang w:val="lt-LT"/>
        </w:rPr>
        <w:t>Garth:</w:t>
      </w:r>
    </w:p>
    <w:p w:rsidR="007C624A" w:rsidRPr="007C624A" w:rsidRDefault="00AC1F3A" w:rsidP="007C624A">
      <w:pPr>
        <w:tabs>
          <w:tab w:val="left" w:pos="446"/>
          <w:tab w:val="left" w:pos="907"/>
        </w:tabs>
        <w:rPr>
          <w:rFonts w:ascii="Times New Roman" w:hAnsi="Times New Roman"/>
          <w:szCs w:val="24"/>
        </w:rPr>
      </w:pPr>
      <w:r w:rsidRPr="007C624A">
        <w:rPr>
          <w:rFonts w:ascii="Cambria Math" w:hAnsi="Cambria Math" w:cs="Cambria Math"/>
          <w:szCs w:val="24"/>
          <w:lang w:val="lt-LT"/>
        </w:rPr>
        <w:t>◾</w:t>
      </w:r>
      <w:r w:rsidRPr="007C624A">
        <w:rPr>
          <w:rFonts w:ascii="Times New Roman" w:hAnsi="Times New Roman"/>
          <w:szCs w:val="24"/>
          <w:lang w:val="lt-LT"/>
        </w:rPr>
        <w:t xml:space="preserve"> gerokai mažiau investuoja į mokslinius tyrimus ir plėtrą nei Holte.</w:t>
      </w:r>
    </w:p>
    <w:p w:rsidR="007C624A" w:rsidRPr="007C624A" w:rsidRDefault="00AC1F3A" w:rsidP="007C624A">
      <w:pPr>
        <w:tabs>
          <w:tab w:val="left" w:pos="446"/>
          <w:tab w:val="left" w:pos="907"/>
        </w:tabs>
        <w:rPr>
          <w:rFonts w:ascii="Times New Roman" w:hAnsi="Times New Roman"/>
          <w:szCs w:val="24"/>
        </w:rPr>
      </w:pPr>
      <w:r w:rsidRPr="007C624A">
        <w:rPr>
          <w:rFonts w:ascii="Cambria Math" w:hAnsi="Cambria Math" w:cs="Cambria Math"/>
          <w:szCs w:val="24"/>
          <w:lang w:val="lt-LT"/>
        </w:rPr>
        <w:t>◾</w:t>
      </w:r>
      <w:r w:rsidRPr="007C624A">
        <w:rPr>
          <w:rFonts w:ascii="Times New Roman" w:hAnsi="Times New Roman"/>
          <w:szCs w:val="24"/>
          <w:lang w:val="lt-LT"/>
        </w:rPr>
        <w:t xml:space="preserve"> turi geriau išvystytą korporatyvinės valdysenos sistemą nei Holte.</w:t>
      </w:r>
    </w:p>
    <w:p w:rsidR="00C07C92" w:rsidRDefault="00AC1F3A" w:rsidP="007C624A">
      <w:pPr>
        <w:tabs>
          <w:tab w:val="left" w:pos="446"/>
          <w:tab w:val="left" w:pos="907"/>
        </w:tabs>
        <w:rPr>
          <w:rFonts w:ascii="Times New Roman" w:hAnsi="Times New Roman"/>
          <w:szCs w:val="24"/>
        </w:rPr>
      </w:pPr>
      <w:r w:rsidRPr="007C624A">
        <w:rPr>
          <w:rFonts w:ascii="Cambria Math" w:hAnsi="Cambria Math" w:cs="Cambria Math"/>
          <w:szCs w:val="24"/>
          <w:lang w:val="lt-LT"/>
        </w:rPr>
        <w:t>◾</w:t>
      </w:r>
      <w:r w:rsidRPr="007C624A">
        <w:rPr>
          <w:rFonts w:ascii="Times New Roman" w:hAnsi="Times New Roman"/>
          <w:szCs w:val="24"/>
          <w:lang w:val="lt-LT"/>
        </w:rPr>
        <w:t xml:space="preserve"> pasižymi didesne veiklos rizika nei Holte.</w:t>
      </w:r>
    </w:p>
    <w:p w:rsidR="00C07C92" w:rsidRDefault="00AC1F3A" w:rsidP="006E5CB6">
      <w:pPr>
        <w:tabs>
          <w:tab w:val="left" w:pos="446"/>
          <w:tab w:val="left" w:pos="907"/>
        </w:tabs>
        <w:rPr>
          <w:rFonts w:ascii="Times New Roman" w:hAnsi="Times New Roman"/>
          <w:szCs w:val="24"/>
        </w:rPr>
      </w:pPr>
    </w:p>
    <w:p w:rsidR="007C624A" w:rsidRPr="007C624A" w:rsidRDefault="00AC1F3A" w:rsidP="007C624A">
      <w:pPr>
        <w:tabs>
          <w:tab w:val="left" w:pos="446"/>
          <w:tab w:val="left" w:pos="907"/>
        </w:tabs>
        <w:rPr>
          <w:rFonts w:ascii="Times New Roman" w:hAnsi="Times New Roman"/>
          <w:szCs w:val="24"/>
        </w:rPr>
      </w:pPr>
      <w:r w:rsidRPr="007C624A">
        <w:rPr>
          <w:rFonts w:ascii="Times New Roman" w:hAnsi="Times New Roman"/>
          <w:szCs w:val="24"/>
          <w:lang w:val="lt-LT"/>
        </w:rPr>
        <w:t>Be to, White padarė įvairias išvadas iš Bema, Garth ir Vega skelbtų pran</w:t>
      </w:r>
      <w:r w:rsidRPr="007C624A">
        <w:rPr>
          <w:rFonts w:ascii="Times New Roman" w:hAnsi="Times New Roman"/>
          <w:szCs w:val="24"/>
          <w:lang w:val="lt-LT"/>
        </w:rPr>
        <w:t>ešimų:</w:t>
      </w:r>
    </w:p>
    <w:p w:rsidR="007C624A" w:rsidRPr="007C624A" w:rsidRDefault="00AC1F3A" w:rsidP="007C624A">
      <w:pPr>
        <w:tabs>
          <w:tab w:val="left" w:pos="446"/>
          <w:tab w:val="left" w:pos="907"/>
        </w:tabs>
        <w:rPr>
          <w:rFonts w:ascii="Times New Roman" w:hAnsi="Times New Roman"/>
          <w:szCs w:val="24"/>
          <w:u w:val="single"/>
        </w:rPr>
      </w:pPr>
      <w:r w:rsidRPr="007C624A">
        <w:rPr>
          <w:rFonts w:ascii="Times New Roman" w:hAnsi="Times New Roman"/>
          <w:szCs w:val="24"/>
          <w:u w:val="single"/>
          <w:lang w:val="lt-LT"/>
        </w:rPr>
        <w:t>Pranešimas</w:t>
      </w:r>
    </w:p>
    <w:p w:rsidR="007C624A" w:rsidRPr="00F308C6" w:rsidRDefault="00AC1F3A" w:rsidP="007C624A">
      <w:pPr>
        <w:tabs>
          <w:tab w:val="left" w:pos="446"/>
          <w:tab w:val="left" w:pos="907"/>
        </w:tabs>
        <w:rPr>
          <w:rFonts w:ascii="Times New Roman" w:hAnsi="Times New Roman"/>
          <w:szCs w:val="24"/>
          <w:lang w:val="lt-LT"/>
        </w:rPr>
      </w:pPr>
      <w:r w:rsidRPr="007C624A">
        <w:rPr>
          <w:rFonts w:ascii="Times New Roman" w:hAnsi="Times New Roman"/>
          <w:szCs w:val="24"/>
          <w:lang w:val="lt-LT"/>
        </w:rPr>
        <w:t>Bema pranešė, kad išleis skolos vertybinius popierius ir gautas lėšas panaudos savo akcijų išpirkimui. Beta nurodė, kad dėl šios skolintu kapitalu finansuotos akcijų išpirkimo programos jos skolos ir nuosavybės santykis padidės iki 0,6, o</w:t>
      </w:r>
      <w:r w:rsidRPr="007C624A">
        <w:rPr>
          <w:rFonts w:ascii="Times New Roman" w:hAnsi="Times New Roman"/>
          <w:szCs w:val="24"/>
          <w:lang w:val="lt-LT"/>
        </w:rPr>
        <w:t xml:space="preserve"> jos skolos kaštai prieš mokesčius bus 6 %.</w:t>
      </w:r>
    </w:p>
    <w:p w:rsidR="007C624A" w:rsidRPr="00F308C6" w:rsidRDefault="00AC1F3A" w:rsidP="007C624A">
      <w:pPr>
        <w:tabs>
          <w:tab w:val="left" w:pos="446"/>
          <w:tab w:val="left" w:pos="907"/>
        </w:tabs>
        <w:rPr>
          <w:rFonts w:ascii="Times New Roman" w:hAnsi="Times New Roman"/>
          <w:szCs w:val="24"/>
          <w:lang w:val="lt-LT"/>
        </w:rPr>
      </w:pPr>
    </w:p>
    <w:p w:rsidR="007C624A" w:rsidRPr="007C624A" w:rsidRDefault="00AC1F3A" w:rsidP="007C624A">
      <w:pPr>
        <w:tabs>
          <w:tab w:val="left" w:pos="446"/>
          <w:tab w:val="left" w:pos="907"/>
        </w:tabs>
        <w:rPr>
          <w:rFonts w:ascii="Times New Roman" w:hAnsi="Times New Roman"/>
          <w:szCs w:val="24"/>
          <w:u w:val="single"/>
        </w:rPr>
      </w:pPr>
      <w:r w:rsidRPr="007C624A">
        <w:rPr>
          <w:rFonts w:ascii="Times New Roman" w:hAnsi="Times New Roman"/>
          <w:szCs w:val="24"/>
          <w:u w:val="single"/>
          <w:lang w:val="lt-LT"/>
        </w:rPr>
        <w:t>Išvada</w:t>
      </w:r>
    </w:p>
    <w:p w:rsidR="007C624A" w:rsidRPr="007C624A" w:rsidRDefault="00AC1F3A" w:rsidP="007C624A">
      <w:pPr>
        <w:tabs>
          <w:tab w:val="left" w:pos="446"/>
          <w:tab w:val="left" w:pos="907"/>
        </w:tabs>
        <w:rPr>
          <w:rFonts w:ascii="Times New Roman" w:hAnsi="Times New Roman"/>
          <w:szCs w:val="24"/>
        </w:rPr>
      </w:pPr>
      <w:r w:rsidRPr="007C624A">
        <w:rPr>
          <w:rFonts w:ascii="Times New Roman" w:hAnsi="Times New Roman"/>
          <w:szCs w:val="24"/>
          <w:lang w:val="lt-LT"/>
        </w:rPr>
        <w:t>Paskelbtoji programa lems tai, kad santykinė bendra Bema rinkos vertė, lyginant su Aquarius verte,</w:t>
      </w:r>
      <w:r w:rsidR="00203D6A">
        <w:rPr>
          <w:rFonts w:ascii="Times New Roman" w:hAnsi="Times New Roman"/>
          <w:szCs w:val="24"/>
        </w:rPr>
        <w:t xml:space="preserve"> </w:t>
      </w:r>
      <w:r w:rsidRPr="007C624A">
        <w:rPr>
          <w:rFonts w:ascii="Times New Roman" w:hAnsi="Times New Roman"/>
          <w:szCs w:val="24"/>
          <w:lang w:val="lt-LT"/>
        </w:rPr>
        <w:t>turėtų sumažėti.</w:t>
      </w:r>
    </w:p>
    <w:p w:rsidR="007C624A" w:rsidRDefault="00AC1F3A" w:rsidP="007C624A">
      <w:pPr>
        <w:tabs>
          <w:tab w:val="left" w:pos="446"/>
          <w:tab w:val="left" w:pos="907"/>
        </w:tabs>
        <w:rPr>
          <w:rFonts w:ascii="Times New Roman" w:hAnsi="Times New Roman"/>
          <w:szCs w:val="24"/>
        </w:rPr>
      </w:pPr>
    </w:p>
    <w:p w:rsidR="007C624A" w:rsidRPr="007C624A" w:rsidRDefault="00AC1F3A" w:rsidP="007C624A">
      <w:pPr>
        <w:tabs>
          <w:tab w:val="left" w:pos="446"/>
          <w:tab w:val="left" w:pos="907"/>
        </w:tabs>
        <w:rPr>
          <w:rFonts w:ascii="Times New Roman" w:hAnsi="Times New Roman"/>
          <w:szCs w:val="24"/>
          <w:u w:val="single"/>
        </w:rPr>
      </w:pPr>
      <w:r w:rsidRPr="007C624A">
        <w:rPr>
          <w:rFonts w:ascii="Times New Roman" w:hAnsi="Times New Roman"/>
          <w:szCs w:val="24"/>
          <w:u w:val="single"/>
          <w:lang w:val="lt-LT"/>
        </w:rPr>
        <w:t>Pranešimas</w:t>
      </w:r>
    </w:p>
    <w:p w:rsidR="007C624A" w:rsidRPr="00F308C6" w:rsidRDefault="00AC1F3A" w:rsidP="007C624A">
      <w:pPr>
        <w:tabs>
          <w:tab w:val="left" w:pos="446"/>
          <w:tab w:val="left" w:pos="907"/>
        </w:tabs>
        <w:rPr>
          <w:rFonts w:ascii="Times New Roman" w:hAnsi="Times New Roman"/>
          <w:szCs w:val="24"/>
          <w:lang w:val="lt-LT"/>
        </w:rPr>
      </w:pPr>
      <w:r w:rsidRPr="007C624A">
        <w:rPr>
          <w:rFonts w:ascii="Times New Roman" w:hAnsi="Times New Roman"/>
          <w:szCs w:val="24"/>
          <w:lang w:val="lt-LT"/>
        </w:rPr>
        <w:t>Garth paskelbė, kad planuoja atsisakyti ankstesnės įmonės politikos finansuo</w:t>
      </w:r>
      <w:r w:rsidRPr="007C624A">
        <w:rPr>
          <w:rFonts w:ascii="Times New Roman" w:hAnsi="Times New Roman"/>
          <w:szCs w:val="24"/>
          <w:lang w:val="lt-LT"/>
        </w:rPr>
        <w:t>ti veiklą vien nuosavybe – ji išleis1 mln. £ skolos vertybinius popierius, kad išpirktų atitinkamą kiekį nuosavybės. Garth skolos kaštai neatskaičius mokesčių yra 6 %.</w:t>
      </w:r>
    </w:p>
    <w:p w:rsidR="007C624A" w:rsidRPr="00F308C6" w:rsidRDefault="00AC1F3A" w:rsidP="007C624A">
      <w:pPr>
        <w:tabs>
          <w:tab w:val="left" w:pos="446"/>
          <w:tab w:val="left" w:pos="907"/>
        </w:tabs>
        <w:rPr>
          <w:rFonts w:ascii="Times New Roman" w:hAnsi="Times New Roman"/>
          <w:szCs w:val="24"/>
          <w:lang w:val="lt-LT"/>
        </w:rPr>
      </w:pPr>
    </w:p>
    <w:p w:rsidR="007C624A" w:rsidRPr="00F308C6" w:rsidRDefault="00AC1F3A" w:rsidP="007C624A">
      <w:pPr>
        <w:tabs>
          <w:tab w:val="left" w:pos="446"/>
          <w:tab w:val="left" w:pos="907"/>
        </w:tabs>
        <w:rPr>
          <w:rFonts w:ascii="Times New Roman" w:hAnsi="Times New Roman"/>
          <w:szCs w:val="24"/>
          <w:u w:val="single"/>
          <w:lang w:val="lt-LT"/>
        </w:rPr>
      </w:pPr>
      <w:r w:rsidRPr="007C624A">
        <w:rPr>
          <w:rFonts w:ascii="Times New Roman" w:hAnsi="Times New Roman"/>
          <w:szCs w:val="24"/>
          <w:u w:val="single"/>
          <w:lang w:val="lt-LT"/>
        </w:rPr>
        <w:t>Išvada</w:t>
      </w:r>
    </w:p>
    <w:p w:rsidR="007C624A" w:rsidRPr="00F308C6" w:rsidRDefault="00AC1F3A" w:rsidP="007C624A">
      <w:pPr>
        <w:tabs>
          <w:tab w:val="left" w:pos="446"/>
          <w:tab w:val="left" w:pos="907"/>
        </w:tabs>
        <w:rPr>
          <w:rFonts w:ascii="Times New Roman" w:hAnsi="Times New Roman"/>
          <w:szCs w:val="24"/>
          <w:lang w:val="lt-LT"/>
        </w:rPr>
      </w:pPr>
      <w:r w:rsidRPr="007C624A">
        <w:rPr>
          <w:rFonts w:ascii="Times New Roman" w:hAnsi="Times New Roman"/>
          <w:szCs w:val="24"/>
          <w:lang w:val="lt-LT"/>
        </w:rPr>
        <w:t>Toks kapitalo struktūros pokytis yra pagrįstas, bet po to Garth turėtų pasirūpin</w:t>
      </w:r>
      <w:r w:rsidRPr="007C624A">
        <w:rPr>
          <w:rFonts w:ascii="Times New Roman" w:hAnsi="Times New Roman"/>
          <w:szCs w:val="24"/>
          <w:lang w:val="lt-LT"/>
        </w:rPr>
        <w:t>ti, kad jos D/E santykis būtų mažesnis nei Holte.</w:t>
      </w:r>
    </w:p>
    <w:p w:rsidR="007C624A" w:rsidRPr="00F308C6" w:rsidRDefault="00AC1F3A" w:rsidP="007C624A">
      <w:pPr>
        <w:tabs>
          <w:tab w:val="left" w:pos="446"/>
          <w:tab w:val="left" w:pos="907"/>
        </w:tabs>
        <w:rPr>
          <w:rFonts w:ascii="Times New Roman" w:hAnsi="Times New Roman"/>
          <w:szCs w:val="24"/>
          <w:lang w:val="lt-LT"/>
        </w:rPr>
      </w:pPr>
    </w:p>
    <w:p w:rsidR="007C624A" w:rsidRPr="00F308C6" w:rsidRDefault="00AC1F3A" w:rsidP="007C624A">
      <w:pPr>
        <w:tabs>
          <w:tab w:val="left" w:pos="446"/>
          <w:tab w:val="left" w:pos="907"/>
        </w:tabs>
        <w:rPr>
          <w:rFonts w:ascii="Times New Roman" w:hAnsi="Times New Roman"/>
          <w:szCs w:val="24"/>
          <w:u w:val="single"/>
          <w:lang w:val="lt-LT"/>
        </w:rPr>
      </w:pPr>
      <w:r w:rsidRPr="007C624A">
        <w:rPr>
          <w:rFonts w:ascii="Times New Roman" w:hAnsi="Times New Roman"/>
          <w:szCs w:val="24"/>
          <w:u w:val="single"/>
          <w:lang w:val="lt-LT"/>
        </w:rPr>
        <w:t>Pranešimas</w:t>
      </w:r>
    </w:p>
    <w:p w:rsidR="007C624A" w:rsidRPr="00F308C6" w:rsidRDefault="00AC1F3A" w:rsidP="007C624A">
      <w:pPr>
        <w:tabs>
          <w:tab w:val="left" w:pos="446"/>
          <w:tab w:val="left" w:pos="907"/>
        </w:tabs>
        <w:rPr>
          <w:rFonts w:ascii="Times New Roman" w:hAnsi="Times New Roman"/>
          <w:szCs w:val="24"/>
          <w:lang w:val="lt-LT"/>
        </w:rPr>
      </w:pPr>
      <w:r w:rsidRPr="007C624A">
        <w:rPr>
          <w:rFonts w:ascii="Times New Roman" w:hAnsi="Times New Roman"/>
          <w:szCs w:val="24"/>
          <w:lang w:val="lt-LT"/>
        </w:rPr>
        <w:t>Vega pranešė, kad kitais metais ketina pritraukti kapitalo, bet nėra nusprendusi, koks kapitalo pritraukimo būdas būtų tinkamiausias.</w:t>
      </w:r>
    </w:p>
    <w:p w:rsidR="007C624A" w:rsidRPr="00F308C6" w:rsidRDefault="00AC1F3A" w:rsidP="007C624A">
      <w:pPr>
        <w:tabs>
          <w:tab w:val="left" w:pos="446"/>
          <w:tab w:val="left" w:pos="907"/>
        </w:tabs>
        <w:rPr>
          <w:rFonts w:ascii="Times New Roman" w:hAnsi="Times New Roman"/>
          <w:szCs w:val="24"/>
          <w:lang w:val="lt-LT"/>
        </w:rPr>
      </w:pPr>
    </w:p>
    <w:p w:rsidR="007C624A" w:rsidRPr="00F308C6" w:rsidRDefault="00AC1F3A" w:rsidP="007C624A">
      <w:pPr>
        <w:tabs>
          <w:tab w:val="left" w:pos="446"/>
          <w:tab w:val="left" w:pos="907"/>
        </w:tabs>
        <w:rPr>
          <w:rFonts w:ascii="Times New Roman" w:hAnsi="Times New Roman"/>
          <w:szCs w:val="24"/>
          <w:u w:val="single"/>
          <w:lang w:val="lt-LT"/>
        </w:rPr>
      </w:pPr>
      <w:r w:rsidRPr="007C624A">
        <w:rPr>
          <w:rFonts w:ascii="Times New Roman" w:hAnsi="Times New Roman"/>
          <w:szCs w:val="24"/>
          <w:u w:val="single"/>
          <w:lang w:val="lt-LT"/>
        </w:rPr>
        <w:t>Išvada</w:t>
      </w:r>
    </w:p>
    <w:p w:rsidR="00C07C92" w:rsidRPr="00F308C6" w:rsidRDefault="00AC1F3A" w:rsidP="007C624A">
      <w:pPr>
        <w:tabs>
          <w:tab w:val="left" w:pos="446"/>
          <w:tab w:val="left" w:pos="907"/>
        </w:tabs>
        <w:rPr>
          <w:rFonts w:ascii="Times New Roman" w:hAnsi="Times New Roman"/>
          <w:szCs w:val="24"/>
          <w:lang w:val="lt-LT"/>
        </w:rPr>
      </w:pPr>
      <w:r w:rsidRPr="007C624A">
        <w:rPr>
          <w:rFonts w:ascii="Times New Roman" w:hAnsi="Times New Roman"/>
          <w:szCs w:val="24"/>
          <w:lang w:val="lt-LT"/>
        </w:rPr>
        <w:t xml:space="preserve">White padarė išvadą, kad tinkamą kapitalo </w:t>
      </w:r>
      <w:r w:rsidRPr="007C624A">
        <w:rPr>
          <w:rFonts w:ascii="Times New Roman" w:hAnsi="Times New Roman"/>
          <w:szCs w:val="24"/>
          <w:lang w:val="lt-LT"/>
        </w:rPr>
        <w:t>pritraukimo būdą Vegai reikėtų pasirinkti pagal pasirinkimo eilės teoriją.</w:t>
      </w:r>
    </w:p>
    <w:p w:rsidR="00C07C92" w:rsidRPr="00F308C6" w:rsidRDefault="00AC1F3A" w:rsidP="006E5CB6">
      <w:pPr>
        <w:tabs>
          <w:tab w:val="left" w:pos="446"/>
          <w:tab w:val="left" w:pos="907"/>
        </w:tabs>
        <w:rPr>
          <w:rFonts w:ascii="Times New Roman" w:hAnsi="Times New Roman"/>
          <w:szCs w:val="24"/>
          <w:lang w:val="lt-LT"/>
        </w:rPr>
      </w:pPr>
    </w:p>
    <w:p w:rsidR="00917A66" w:rsidRPr="00917A66" w:rsidRDefault="00AC1F3A" w:rsidP="00917A66">
      <w:pPr>
        <w:tabs>
          <w:tab w:val="left" w:pos="446"/>
          <w:tab w:val="left" w:pos="907"/>
        </w:tabs>
        <w:rPr>
          <w:rFonts w:ascii="Times New Roman" w:hAnsi="Times New Roman"/>
          <w:szCs w:val="24"/>
        </w:rPr>
      </w:pPr>
      <w:r w:rsidRPr="00917A66">
        <w:rPr>
          <w:rFonts w:ascii="Times New Roman" w:hAnsi="Times New Roman"/>
          <w:szCs w:val="24"/>
          <w:lang w:val="lt-LT"/>
        </w:rPr>
        <w:t>14. Remiantis Modigliani ir Miller (MM) moke</w:t>
      </w:r>
      <w:r w:rsidR="00203D6A">
        <w:rPr>
          <w:rFonts w:ascii="Times New Roman" w:hAnsi="Times New Roman"/>
          <w:szCs w:val="24"/>
          <w:lang w:val="lt-LT"/>
        </w:rPr>
        <w:t xml:space="preserve">sčių teorija, Aquarius WACC yra </w:t>
      </w:r>
      <w:bookmarkStart w:id="0" w:name="_GoBack"/>
      <w:bookmarkEnd w:id="0"/>
      <w:r w:rsidRPr="00917A66">
        <w:rPr>
          <w:rFonts w:ascii="Times New Roman" w:hAnsi="Times New Roman"/>
          <w:szCs w:val="24"/>
          <w:lang w:val="lt-LT"/>
        </w:rPr>
        <w:t>artimiausias:</w:t>
      </w:r>
    </w:p>
    <w:p w:rsidR="00917A66" w:rsidRPr="00917A66" w:rsidRDefault="00AC1F3A" w:rsidP="00917A66">
      <w:pPr>
        <w:tabs>
          <w:tab w:val="left" w:pos="446"/>
          <w:tab w:val="left" w:pos="907"/>
        </w:tabs>
        <w:rPr>
          <w:rFonts w:ascii="Times New Roman" w:hAnsi="Times New Roman"/>
          <w:szCs w:val="24"/>
        </w:rPr>
      </w:pPr>
      <w:r w:rsidRPr="00917A66">
        <w:rPr>
          <w:rFonts w:ascii="Times New Roman" w:hAnsi="Times New Roman"/>
          <w:szCs w:val="24"/>
          <w:lang w:val="lt-LT"/>
        </w:rPr>
        <w:t>A. 3,38 %.</w:t>
      </w:r>
    </w:p>
    <w:p w:rsidR="00C07C92" w:rsidRDefault="00AC1F3A" w:rsidP="00917A66">
      <w:pPr>
        <w:tabs>
          <w:tab w:val="left" w:pos="446"/>
          <w:tab w:val="left" w:pos="907"/>
        </w:tabs>
        <w:rPr>
          <w:rFonts w:ascii="Times New Roman" w:hAnsi="Times New Roman"/>
          <w:szCs w:val="24"/>
        </w:rPr>
      </w:pPr>
      <w:r w:rsidRPr="00917A66">
        <w:rPr>
          <w:rFonts w:ascii="Times New Roman" w:hAnsi="Times New Roman"/>
          <w:szCs w:val="24"/>
          <w:lang w:val="lt-LT"/>
        </w:rPr>
        <w:t>B. 7,87 %.</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C. 11,25 %.</w:t>
      </w:r>
    </w:p>
    <w:p w:rsidR="000B3273" w:rsidRDefault="00AC1F3A" w:rsidP="000B3273">
      <w:pPr>
        <w:tabs>
          <w:tab w:val="left" w:pos="446"/>
          <w:tab w:val="left" w:pos="907"/>
        </w:tabs>
        <w:rPr>
          <w:rFonts w:ascii="Times New Roman" w:hAnsi="Times New Roman"/>
          <w:szCs w:val="24"/>
        </w:rPr>
      </w:pP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lastRenderedPageBreak/>
        <w:t>15. Remiantis MM pelno mokesčių teorija, kokie bus Bema</w:t>
      </w:r>
      <w:r w:rsidRPr="000B3273">
        <w:rPr>
          <w:rFonts w:ascii="Times New Roman" w:hAnsi="Times New Roman"/>
          <w:szCs w:val="24"/>
          <w:lang w:val="lt-LT"/>
        </w:rPr>
        <w:t xml:space="preserve"> įmonės vidutiniai svertiniai kapitalo kaštai po to, kai ji baigs savo skelbtą skolintu kapitalu finansuotą akcijų išpirkimo programą?</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A. 6,52 %.</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B. 7,83 %.</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C. 8,88 %.</w:t>
      </w:r>
    </w:p>
    <w:p w:rsidR="000B3273" w:rsidRDefault="00AC1F3A" w:rsidP="000B3273">
      <w:pPr>
        <w:tabs>
          <w:tab w:val="left" w:pos="446"/>
          <w:tab w:val="left" w:pos="907"/>
        </w:tabs>
        <w:rPr>
          <w:rFonts w:ascii="Times New Roman" w:hAnsi="Times New Roman"/>
          <w:szCs w:val="24"/>
        </w:rPr>
      </w:pP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16. Remiantis 1 lentele ir White užrašais, kuris iš šių teiginių mažiausiai atitinka Wh</w:t>
      </w:r>
      <w:r w:rsidRPr="000B3273">
        <w:rPr>
          <w:rFonts w:ascii="Times New Roman" w:hAnsi="Times New Roman"/>
          <w:szCs w:val="24"/>
          <w:lang w:val="lt-LT"/>
        </w:rPr>
        <w:t>ite išvadą dėl Bema įmonės pranešimo?</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A. Bema įsipareigojimų kaštai bus didesni nei Aquarius.</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B. Bema turės mažesnį finansinį svertą nei Aquarius.</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C. Bema turės mažesnį materialaus turto procentą nuo viso turto nei Aquarius.</w:t>
      </w:r>
    </w:p>
    <w:p w:rsidR="000B3273" w:rsidRDefault="00AC1F3A" w:rsidP="000B3273">
      <w:pPr>
        <w:tabs>
          <w:tab w:val="left" w:pos="446"/>
          <w:tab w:val="left" w:pos="907"/>
        </w:tabs>
        <w:rPr>
          <w:rFonts w:ascii="Times New Roman" w:hAnsi="Times New Roman"/>
          <w:szCs w:val="24"/>
        </w:rPr>
      </w:pP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17. Remiantis MM pelno mokesči</w:t>
      </w:r>
      <w:r w:rsidRPr="000B3273">
        <w:rPr>
          <w:rFonts w:ascii="Times New Roman" w:hAnsi="Times New Roman"/>
          <w:szCs w:val="24"/>
          <w:lang w:val="lt-LT"/>
        </w:rPr>
        <w:t>ų teorija, po skolos vertybinių popierių išleidimo Garth nuosavo kapitalo kaštai bus artimiausi:</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A. 10,00 %.</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B. 10,85 %.</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C. 11,33 %.</w:t>
      </w:r>
    </w:p>
    <w:p w:rsidR="000B3273" w:rsidRDefault="00AC1F3A" w:rsidP="000B3273">
      <w:pPr>
        <w:tabs>
          <w:tab w:val="left" w:pos="446"/>
          <w:tab w:val="left" w:pos="907"/>
        </w:tabs>
        <w:rPr>
          <w:rFonts w:ascii="Times New Roman" w:hAnsi="Times New Roman"/>
          <w:szCs w:val="24"/>
        </w:rPr>
      </w:pP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18. Remiantis 1 lentele ir White užrašais, kuris iš šių teiginių labiausiai atitinka White išvadą dėl Garth įmonės praneši</w:t>
      </w:r>
      <w:r w:rsidRPr="000B3273">
        <w:rPr>
          <w:rFonts w:ascii="Times New Roman" w:hAnsi="Times New Roman"/>
          <w:szCs w:val="24"/>
          <w:lang w:val="lt-LT"/>
        </w:rPr>
        <w:t>mo?</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A. Garth pasižymi didesne veiklos rizika nei Holte.</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B. Garth gerokai mažiau investuoja į mokslinius tyrimus ir plėtrą nei Holte.</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C. Garth turi geriau išvystytą korporatyvinės valdysenos sistemą nei Holte.</w:t>
      </w:r>
    </w:p>
    <w:p w:rsidR="000B3273" w:rsidRDefault="00AC1F3A" w:rsidP="000B3273">
      <w:pPr>
        <w:tabs>
          <w:tab w:val="left" w:pos="446"/>
          <w:tab w:val="left" w:pos="907"/>
        </w:tabs>
        <w:rPr>
          <w:rFonts w:ascii="Times New Roman" w:hAnsi="Times New Roman"/>
          <w:szCs w:val="24"/>
        </w:rPr>
      </w:pP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 xml:space="preserve">19. Remiantis White'o išvada dėl tinkamo būdo </w:t>
      </w:r>
      <w:r w:rsidRPr="000B3273">
        <w:rPr>
          <w:rFonts w:ascii="Times New Roman" w:hAnsi="Times New Roman"/>
          <w:szCs w:val="24"/>
          <w:lang w:val="lt-LT"/>
        </w:rPr>
        <w:t>kapitalui pritraukti parinkimo, Vega turėtų pritraukti kapitalą tokia seka:</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A. skola, vidinis finansavimas, nuosavybė.</w:t>
      </w:r>
    </w:p>
    <w:p w:rsidR="000B3273" w:rsidRPr="000B3273" w:rsidRDefault="00AC1F3A" w:rsidP="000B3273">
      <w:pPr>
        <w:tabs>
          <w:tab w:val="left" w:pos="446"/>
          <w:tab w:val="left" w:pos="907"/>
        </w:tabs>
        <w:rPr>
          <w:rFonts w:ascii="Times New Roman" w:hAnsi="Times New Roman"/>
          <w:szCs w:val="24"/>
        </w:rPr>
      </w:pPr>
      <w:r w:rsidRPr="000B3273">
        <w:rPr>
          <w:rFonts w:ascii="Times New Roman" w:hAnsi="Times New Roman"/>
          <w:szCs w:val="24"/>
          <w:lang w:val="lt-LT"/>
        </w:rPr>
        <w:t>B. nuosavybė, skola, vidinis finansavimas.</w:t>
      </w:r>
    </w:p>
    <w:p w:rsidR="000B3273" w:rsidRDefault="00AC1F3A" w:rsidP="000B3273">
      <w:pPr>
        <w:tabs>
          <w:tab w:val="left" w:pos="446"/>
          <w:tab w:val="left" w:pos="907"/>
        </w:tabs>
        <w:rPr>
          <w:rFonts w:ascii="Times New Roman" w:hAnsi="Times New Roman"/>
          <w:szCs w:val="24"/>
          <w:lang w:val="lt-LT"/>
        </w:rPr>
      </w:pPr>
      <w:r w:rsidRPr="000B3273">
        <w:rPr>
          <w:rFonts w:ascii="Times New Roman" w:hAnsi="Times New Roman"/>
          <w:szCs w:val="24"/>
          <w:lang w:val="lt-LT"/>
        </w:rPr>
        <w:t>C. vidinis finansavimas, skola, nuosavybė.</w:t>
      </w:r>
    </w:p>
    <w:p w:rsidR="00F308C6" w:rsidRDefault="00F308C6" w:rsidP="000B3273">
      <w:pPr>
        <w:tabs>
          <w:tab w:val="left" w:pos="446"/>
          <w:tab w:val="left" w:pos="907"/>
        </w:tabs>
        <w:rPr>
          <w:rFonts w:ascii="Times New Roman" w:hAnsi="Times New Roman"/>
          <w:szCs w:val="24"/>
          <w:lang w:val="lt-LT"/>
        </w:rPr>
      </w:pPr>
    </w:p>
    <w:p w:rsidR="00F308C6" w:rsidRDefault="00F308C6" w:rsidP="000B3273">
      <w:pPr>
        <w:tabs>
          <w:tab w:val="left" w:pos="446"/>
          <w:tab w:val="left" w:pos="907"/>
        </w:tabs>
        <w:rPr>
          <w:rFonts w:ascii="Times New Roman" w:hAnsi="Times New Roman"/>
          <w:szCs w:val="24"/>
          <w:lang w:val="lt-LT"/>
        </w:rPr>
      </w:pPr>
    </w:p>
    <w:p w:rsidR="00F308C6" w:rsidRDefault="00F308C6" w:rsidP="000B3273">
      <w:pPr>
        <w:tabs>
          <w:tab w:val="left" w:pos="446"/>
          <w:tab w:val="left" w:pos="907"/>
        </w:tabs>
        <w:rPr>
          <w:rFonts w:ascii="Times New Roman" w:hAnsi="Times New Roman"/>
          <w:szCs w:val="24"/>
          <w:lang w:val="lt-LT"/>
        </w:rPr>
      </w:pPr>
    </w:p>
    <w:p w:rsidR="00F308C6" w:rsidRPr="008D2F3C" w:rsidRDefault="00F308C6" w:rsidP="00F308C6">
      <w:pPr>
        <w:pStyle w:val="Header"/>
        <w:jc w:val="right"/>
        <w:rPr>
          <w:rFonts w:ascii="Times New Roman" w:hAnsi="Times New Roman"/>
        </w:rPr>
      </w:pPr>
      <w:r w:rsidRPr="008D2F3C">
        <w:rPr>
          <w:rFonts w:ascii="Times New Roman" w:hAnsi="Times New Roman"/>
          <w:i/>
          <w:sz w:val="22"/>
        </w:rPr>
        <w:t xml:space="preserve">CHAPTER </w:t>
      </w:r>
      <w:r>
        <w:rPr>
          <w:rFonts w:ascii="Times New Roman" w:hAnsi="Times New Roman"/>
          <w:i/>
          <w:sz w:val="22"/>
        </w:rPr>
        <w:t xml:space="preserve">5                             </w:t>
      </w:r>
      <w:r w:rsidRPr="00C07C92">
        <w:rPr>
          <w:rFonts w:ascii="Times New Roman" w:hAnsi="Times New Roman"/>
          <w:i/>
          <w:sz w:val="22"/>
        </w:rPr>
        <w:t>Capital Structure</w:t>
      </w:r>
    </w:p>
    <w:p w:rsidR="00F308C6" w:rsidRDefault="00F308C6" w:rsidP="000B3273">
      <w:pPr>
        <w:tabs>
          <w:tab w:val="left" w:pos="446"/>
          <w:tab w:val="left" w:pos="907"/>
        </w:tabs>
        <w:rPr>
          <w:rFonts w:ascii="Times New Roman" w:hAnsi="Times New Roman"/>
          <w:szCs w:val="24"/>
          <w:lang w:val="lt-LT"/>
        </w:rPr>
      </w:pPr>
    </w:p>
    <w:p w:rsidR="00F308C6" w:rsidRDefault="00F308C6" w:rsidP="000B3273">
      <w:pPr>
        <w:tabs>
          <w:tab w:val="left" w:pos="446"/>
          <w:tab w:val="left" w:pos="907"/>
        </w:tabs>
        <w:rPr>
          <w:rFonts w:ascii="Times New Roman" w:hAnsi="Times New Roman"/>
          <w:szCs w:val="24"/>
          <w:lang w:val="lt-LT"/>
        </w:rPr>
      </w:pPr>
    </w:p>
    <w:p w:rsidR="00F308C6" w:rsidRPr="008F0C6B" w:rsidRDefault="00F308C6" w:rsidP="00F308C6">
      <w:pPr>
        <w:tabs>
          <w:tab w:val="left" w:pos="446"/>
          <w:tab w:val="left" w:pos="907"/>
        </w:tabs>
        <w:rPr>
          <w:rFonts w:ascii="Times New Roman" w:hAnsi="Times New Roman"/>
          <w:b/>
          <w:sz w:val="36"/>
          <w:szCs w:val="36"/>
        </w:rPr>
      </w:pPr>
      <w:r w:rsidRPr="00632FB7">
        <w:rPr>
          <w:rFonts w:ascii="Times New Roman" w:hAnsi="Times New Roman"/>
          <w:b/>
          <w:sz w:val="36"/>
          <w:szCs w:val="36"/>
        </w:rPr>
        <w:t xml:space="preserve">Test </w:t>
      </w:r>
      <w:r>
        <w:rPr>
          <w:rFonts w:ascii="Times New Roman" w:hAnsi="Times New Roman"/>
          <w:b/>
          <w:sz w:val="36"/>
          <w:szCs w:val="36"/>
        </w:rPr>
        <w:t>Q</w:t>
      </w:r>
      <w:r w:rsidRPr="00632FB7">
        <w:rPr>
          <w:rFonts w:ascii="Times New Roman" w:hAnsi="Times New Roman"/>
          <w:b/>
          <w:sz w:val="36"/>
          <w:szCs w:val="36"/>
        </w:rPr>
        <w:t>uestions</w:t>
      </w:r>
    </w:p>
    <w:p w:rsidR="00F308C6" w:rsidRDefault="00F308C6" w:rsidP="00F308C6">
      <w:pPr>
        <w:tabs>
          <w:tab w:val="left" w:pos="446"/>
          <w:tab w:val="left" w:pos="907"/>
        </w:tabs>
        <w:rPr>
          <w:rFonts w:ascii="Times New Roman" w:hAnsi="Times New Roman"/>
          <w:szCs w:val="24"/>
        </w:rPr>
      </w:pP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1. If investors have homogeneous expectations, the market is efficient, and there are no taxes, no</w:t>
      </w:r>
      <w:r>
        <w:rPr>
          <w:rFonts w:ascii="Times New Roman" w:hAnsi="Times New Roman"/>
          <w:szCs w:val="24"/>
        </w:rPr>
        <w:t xml:space="preserve"> </w:t>
      </w:r>
      <w:r w:rsidRPr="00C07C92">
        <w:rPr>
          <w:rFonts w:ascii="Times New Roman" w:hAnsi="Times New Roman"/>
          <w:szCs w:val="24"/>
        </w:rPr>
        <w:t>transactions costs, and no bankruptcy costs, the Modigliani and Miller Proposition I states that:</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A. bankruptcy risk rises with more leverage.</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B. managers cannot change the value of the company by using more or less debt.</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C. managers cannot increase the value of the company by employing tax saving strategies.</w:t>
      </w:r>
    </w:p>
    <w:p w:rsidR="00F308C6" w:rsidRDefault="00F308C6" w:rsidP="00F308C6">
      <w:pPr>
        <w:tabs>
          <w:tab w:val="left" w:pos="446"/>
          <w:tab w:val="left" w:pos="907"/>
        </w:tabs>
        <w:rPr>
          <w:rFonts w:ascii="Times New Roman" w:hAnsi="Times New Roman"/>
          <w:szCs w:val="24"/>
        </w:rPr>
      </w:pP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lastRenderedPageBreak/>
        <w:t>2. According to Modigliani and Miller’s Proposition II without taxes:</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A. the capital structure decision has no effect on the cost of equity.</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B. investment and the capital structure decisions are interdependent.</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C. the cost of equity increases as the use of debt in the capital structure increases.</w:t>
      </w:r>
    </w:p>
    <w:p w:rsidR="00F308C6" w:rsidRDefault="00F308C6" w:rsidP="00F308C6">
      <w:pPr>
        <w:tabs>
          <w:tab w:val="left" w:pos="446"/>
          <w:tab w:val="left" w:pos="907"/>
        </w:tabs>
        <w:rPr>
          <w:rFonts w:ascii="Times New Roman" w:hAnsi="Times New Roman"/>
          <w:szCs w:val="24"/>
        </w:rPr>
      </w:pP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3. Suppose the weighted average cost of capital of the Gadget Company is 10 percent. If Gadget has</w:t>
      </w:r>
      <w:r>
        <w:rPr>
          <w:rFonts w:ascii="Times New Roman" w:hAnsi="Times New Roman"/>
          <w:szCs w:val="24"/>
        </w:rPr>
        <w:t xml:space="preserve"> </w:t>
      </w:r>
      <w:r w:rsidRPr="00C07C92">
        <w:rPr>
          <w:rFonts w:ascii="Times New Roman" w:hAnsi="Times New Roman"/>
          <w:szCs w:val="24"/>
        </w:rPr>
        <w:t>a capital structure of 50 percent debt and 50 percent equity, a before-tax cost of debt of 5 percent,</w:t>
      </w:r>
      <w:r>
        <w:rPr>
          <w:rFonts w:ascii="Times New Roman" w:hAnsi="Times New Roman"/>
          <w:szCs w:val="24"/>
        </w:rPr>
        <w:t xml:space="preserve"> </w:t>
      </w:r>
      <w:r w:rsidRPr="00C07C92">
        <w:rPr>
          <w:rFonts w:ascii="Times New Roman" w:hAnsi="Times New Roman"/>
          <w:szCs w:val="24"/>
        </w:rPr>
        <w:t>and a marginal tax rate of 20 percent, then its cost of equity capital is closest to:</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A. 12 percent.</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B. 14 percent.</w:t>
      </w: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C. 16 percent.</w:t>
      </w:r>
    </w:p>
    <w:p w:rsidR="00F308C6" w:rsidRDefault="00F308C6" w:rsidP="00F308C6">
      <w:pPr>
        <w:tabs>
          <w:tab w:val="left" w:pos="446"/>
          <w:tab w:val="left" w:pos="907"/>
        </w:tabs>
        <w:rPr>
          <w:rFonts w:ascii="Times New Roman" w:hAnsi="Times New Roman"/>
          <w:szCs w:val="24"/>
        </w:rPr>
      </w:pPr>
    </w:p>
    <w:p w:rsidR="00F308C6" w:rsidRPr="00C07C92" w:rsidRDefault="00F308C6" w:rsidP="00F308C6">
      <w:pPr>
        <w:tabs>
          <w:tab w:val="left" w:pos="446"/>
          <w:tab w:val="left" w:pos="907"/>
        </w:tabs>
        <w:rPr>
          <w:rFonts w:ascii="Times New Roman" w:hAnsi="Times New Roman"/>
          <w:szCs w:val="24"/>
        </w:rPr>
      </w:pPr>
      <w:r w:rsidRPr="00C07C92">
        <w:rPr>
          <w:rFonts w:ascii="Times New Roman" w:hAnsi="Times New Roman"/>
          <w:szCs w:val="24"/>
        </w:rPr>
        <w:t xml:space="preserve">4. The current weighted average cost of capital (WACC) for Van der </w:t>
      </w:r>
      <w:proofErr w:type="spellStart"/>
      <w:r w:rsidRPr="00C07C92">
        <w:rPr>
          <w:rFonts w:ascii="Times New Roman" w:hAnsi="Times New Roman"/>
          <w:szCs w:val="24"/>
        </w:rPr>
        <w:t>Welde</w:t>
      </w:r>
      <w:proofErr w:type="spellEnd"/>
      <w:r w:rsidRPr="00C07C92">
        <w:rPr>
          <w:rFonts w:ascii="Times New Roman" w:hAnsi="Times New Roman"/>
          <w:szCs w:val="24"/>
        </w:rPr>
        <w:t xml:space="preserve"> is 10 percent. The</w:t>
      </w:r>
      <w:r>
        <w:rPr>
          <w:rFonts w:ascii="Times New Roman" w:hAnsi="Times New Roman"/>
          <w:szCs w:val="24"/>
        </w:rPr>
        <w:t xml:space="preserve"> </w:t>
      </w:r>
      <w:r w:rsidRPr="00C07C92">
        <w:rPr>
          <w:rFonts w:ascii="Times New Roman" w:hAnsi="Times New Roman"/>
          <w:szCs w:val="24"/>
        </w:rPr>
        <w:t>company announced a debt offering that raises the WACC to 13 percent. The most likely</w:t>
      </w:r>
      <w:r>
        <w:rPr>
          <w:rFonts w:ascii="Times New Roman" w:hAnsi="Times New Roman"/>
          <w:szCs w:val="24"/>
        </w:rPr>
        <w:t xml:space="preserve"> </w:t>
      </w:r>
      <w:r w:rsidRPr="00C07C92">
        <w:rPr>
          <w:rFonts w:ascii="Times New Roman" w:hAnsi="Times New Roman"/>
          <w:szCs w:val="24"/>
        </w:rPr>
        <w:t xml:space="preserve">conclusion is that for Van der </w:t>
      </w:r>
      <w:proofErr w:type="spellStart"/>
      <w:r w:rsidRPr="00C07C92">
        <w:rPr>
          <w:rFonts w:ascii="Times New Roman" w:hAnsi="Times New Roman"/>
          <w:szCs w:val="24"/>
        </w:rPr>
        <w:t>Welde</w:t>
      </w:r>
      <w:proofErr w:type="spellEnd"/>
      <w:r w:rsidRPr="00C07C92">
        <w:rPr>
          <w:rFonts w:ascii="Times New Roman" w:hAnsi="Times New Roman"/>
          <w:szCs w:val="24"/>
        </w:rPr>
        <w:t>:</w:t>
      </w:r>
    </w:p>
    <w:p w:rsidR="00F308C6" w:rsidRDefault="00F308C6" w:rsidP="00F308C6">
      <w:pPr>
        <w:tabs>
          <w:tab w:val="left" w:pos="446"/>
          <w:tab w:val="left" w:pos="907"/>
        </w:tabs>
        <w:rPr>
          <w:rFonts w:ascii="Times New Roman" w:hAnsi="Times New Roman"/>
          <w:szCs w:val="24"/>
        </w:rPr>
      </w:pPr>
      <w:r w:rsidRPr="00C07C92">
        <w:rPr>
          <w:rFonts w:ascii="Times New Roman" w:hAnsi="Times New Roman"/>
          <w:szCs w:val="24"/>
        </w:rPr>
        <w:t>A. the company’s prospects are improving.</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B. equity financing is cheaper than debt financing.</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C. the company’s debt/equity ratio has moved beyond the optimal range.</w:t>
      </w:r>
    </w:p>
    <w:p w:rsidR="00F308C6" w:rsidRDefault="00F308C6" w:rsidP="00F308C6">
      <w:pPr>
        <w:tabs>
          <w:tab w:val="left" w:pos="446"/>
          <w:tab w:val="left" w:pos="907"/>
        </w:tabs>
        <w:rPr>
          <w:rFonts w:ascii="Times New Roman" w:hAnsi="Times New Roman"/>
          <w:szCs w:val="24"/>
        </w:rPr>
      </w:pP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5. All else equal, the use of long-maturity debt is expected to be greater in those markets in which:</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A. inflation is low.</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B. capital markets are passive and illiquid.</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C. the legal system’s protection of bondholders’ interests is weak.</w:t>
      </w:r>
    </w:p>
    <w:p w:rsidR="00F308C6" w:rsidRDefault="00F308C6" w:rsidP="00F308C6">
      <w:pPr>
        <w:tabs>
          <w:tab w:val="left" w:pos="446"/>
          <w:tab w:val="left" w:pos="907"/>
        </w:tabs>
        <w:rPr>
          <w:rFonts w:ascii="Times New Roman" w:hAnsi="Times New Roman"/>
          <w:szCs w:val="24"/>
        </w:rPr>
      </w:pP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6. According to the pecking order theory:</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A. new debt is preferable to new equity.</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B. new debt is preferable to internally generated funds.</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C. new equity is always preferable to other sources of capital.</w:t>
      </w:r>
    </w:p>
    <w:p w:rsidR="00F308C6" w:rsidRDefault="00F308C6" w:rsidP="00F308C6">
      <w:pPr>
        <w:tabs>
          <w:tab w:val="left" w:pos="446"/>
          <w:tab w:val="left" w:pos="907"/>
        </w:tabs>
        <w:rPr>
          <w:rFonts w:ascii="Times New Roman" w:hAnsi="Times New Roman"/>
          <w:szCs w:val="24"/>
        </w:rPr>
      </w:pP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7. According to the static trade-off theory:</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A. debt should be used only as a last resort.</w:t>
      </w: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B. companies have an optimal level of debt.</w:t>
      </w:r>
    </w:p>
    <w:p w:rsidR="00F308C6" w:rsidRDefault="00F308C6" w:rsidP="00F308C6">
      <w:pPr>
        <w:tabs>
          <w:tab w:val="left" w:pos="446"/>
          <w:tab w:val="left" w:pos="907"/>
        </w:tabs>
        <w:rPr>
          <w:rFonts w:ascii="Times New Roman" w:hAnsi="Times New Roman"/>
          <w:szCs w:val="24"/>
        </w:rPr>
      </w:pPr>
      <w:r w:rsidRPr="005659B5">
        <w:rPr>
          <w:rFonts w:ascii="Times New Roman" w:hAnsi="Times New Roman"/>
          <w:szCs w:val="24"/>
        </w:rPr>
        <w:t>C. the capital structure decision is irrelevant.</w:t>
      </w:r>
    </w:p>
    <w:p w:rsidR="00F308C6" w:rsidRPr="005659B5" w:rsidRDefault="00F308C6" w:rsidP="00F308C6">
      <w:pPr>
        <w:tabs>
          <w:tab w:val="left" w:pos="446"/>
          <w:tab w:val="left" w:pos="907"/>
        </w:tabs>
        <w:rPr>
          <w:rFonts w:ascii="Times New Roman" w:hAnsi="Times New Roman"/>
          <w:b/>
          <w:sz w:val="28"/>
          <w:szCs w:val="28"/>
        </w:rPr>
      </w:pPr>
      <w:r w:rsidRPr="005659B5">
        <w:rPr>
          <w:rFonts w:ascii="Times New Roman" w:hAnsi="Times New Roman"/>
          <w:b/>
          <w:sz w:val="28"/>
          <w:szCs w:val="28"/>
        </w:rPr>
        <w:t>The following information relates to Questions 8–13</w:t>
      </w:r>
    </w:p>
    <w:p w:rsidR="00F308C6" w:rsidRDefault="00F308C6" w:rsidP="00F308C6">
      <w:pPr>
        <w:tabs>
          <w:tab w:val="left" w:pos="446"/>
          <w:tab w:val="left" w:pos="907"/>
        </w:tabs>
        <w:rPr>
          <w:rFonts w:ascii="Times New Roman" w:hAnsi="Times New Roman"/>
          <w:szCs w:val="24"/>
        </w:rPr>
      </w:pPr>
    </w:p>
    <w:p w:rsidR="00F308C6" w:rsidRPr="005659B5" w:rsidRDefault="00F308C6" w:rsidP="00F308C6">
      <w:pPr>
        <w:tabs>
          <w:tab w:val="left" w:pos="446"/>
          <w:tab w:val="left" w:pos="907"/>
        </w:tabs>
        <w:rPr>
          <w:rFonts w:ascii="Times New Roman" w:hAnsi="Times New Roman"/>
          <w:szCs w:val="24"/>
        </w:rPr>
      </w:pPr>
      <w:r w:rsidRPr="005659B5">
        <w:rPr>
          <w:rFonts w:ascii="Times New Roman" w:hAnsi="Times New Roman"/>
          <w:szCs w:val="24"/>
        </w:rPr>
        <w:t xml:space="preserve">Barbara Andrade is an equity analyst who covers the entertainment industry for </w:t>
      </w:r>
      <w:proofErr w:type="spellStart"/>
      <w:r w:rsidRPr="005659B5">
        <w:rPr>
          <w:rFonts w:ascii="Times New Roman" w:hAnsi="Times New Roman"/>
          <w:szCs w:val="24"/>
        </w:rPr>
        <w:t>Greengable</w:t>
      </w:r>
      <w:proofErr w:type="spellEnd"/>
      <w:r w:rsidRPr="005659B5">
        <w:rPr>
          <w:rFonts w:ascii="Times New Roman" w:hAnsi="Times New Roman"/>
          <w:szCs w:val="24"/>
        </w:rPr>
        <w:t xml:space="preserve"> Capital</w:t>
      </w:r>
      <w:r>
        <w:rPr>
          <w:rFonts w:ascii="Times New Roman" w:hAnsi="Times New Roman"/>
          <w:szCs w:val="24"/>
        </w:rPr>
        <w:t xml:space="preserve"> </w:t>
      </w:r>
      <w:r w:rsidRPr="005659B5">
        <w:rPr>
          <w:rFonts w:ascii="Times New Roman" w:hAnsi="Times New Roman"/>
          <w:szCs w:val="24"/>
        </w:rPr>
        <w:t xml:space="preserve">Partners, a major global asset manager. </w:t>
      </w:r>
      <w:proofErr w:type="spellStart"/>
      <w:r w:rsidRPr="005659B5">
        <w:rPr>
          <w:rFonts w:ascii="Times New Roman" w:hAnsi="Times New Roman"/>
          <w:szCs w:val="24"/>
        </w:rPr>
        <w:t>Greengable</w:t>
      </w:r>
      <w:proofErr w:type="spellEnd"/>
      <w:r w:rsidRPr="005659B5">
        <w:rPr>
          <w:rFonts w:ascii="Times New Roman" w:hAnsi="Times New Roman"/>
          <w:szCs w:val="24"/>
        </w:rPr>
        <w:t xml:space="preserve"> owns a significant position with a large unrealized</w:t>
      </w:r>
      <w:r>
        <w:rPr>
          <w:rFonts w:ascii="Times New Roman" w:hAnsi="Times New Roman"/>
          <w:szCs w:val="24"/>
        </w:rPr>
        <w:t xml:space="preserve"> </w:t>
      </w:r>
      <w:r w:rsidRPr="005659B5">
        <w:rPr>
          <w:rFonts w:ascii="Times New Roman" w:hAnsi="Times New Roman"/>
          <w:szCs w:val="24"/>
        </w:rPr>
        <w:t>capital gain in Mosely Broadcast Group (MBG). On a recent conference call, MBG’s management states</w:t>
      </w:r>
      <w:r>
        <w:rPr>
          <w:rFonts w:ascii="Times New Roman" w:hAnsi="Times New Roman"/>
          <w:szCs w:val="24"/>
        </w:rPr>
        <w:t xml:space="preserve"> </w:t>
      </w:r>
      <w:r w:rsidRPr="005659B5">
        <w:rPr>
          <w:rFonts w:ascii="Times New Roman" w:hAnsi="Times New Roman"/>
          <w:szCs w:val="24"/>
        </w:rPr>
        <w:t>that they plan to increase the proportion of debt in the company’s capital structure. Andrade is concerned</w:t>
      </w:r>
      <w:r>
        <w:rPr>
          <w:rFonts w:ascii="Times New Roman" w:hAnsi="Times New Roman"/>
          <w:szCs w:val="24"/>
        </w:rPr>
        <w:t xml:space="preserve"> </w:t>
      </w:r>
      <w:r w:rsidRPr="005659B5">
        <w:rPr>
          <w:rFonts w:ascii="Times New Roman" w:hAnsi="Times New Roman"/>
          <w:szCs w:val="24"/>
        </w:rPr>
        <w:t xml:space="preserve">that any changes in MBG’s capital structure will negatively affect the value of </w:t>
      </w:r>
      <w:proofErr w:type="spellStart"/>
      <w:r w:rsidRPr="005659B5">
        <w:rPr>
          <w:rFonts w:ascii="Times New Roman" w:hAnsi="Times New Roman"/>
          <w:szCs w:val="24"/>
        </w:rPr>
        <w:t>Greengable’s</w:t>
      </w:r>
      <w:proofErr w:type="spellEnd"/>
      <w:r w:rsidRPr="005659B5">
        <w:rPr>
          <w:rFonts w:ascii="Times New Roman" w:hAnsi="Times New Roman"/>
          <w:szCs w:val="24"/>
        </w:rPr>
        <w:t xml:space="preserve"> investment.</w:t>
      </w:r>
    </w:p>
    <w:p w:rsidR="00F308C6" w:rsidRDefault="00F308C6" w:rsidP="00F308C6">
      <w:pPr>
        <w:tabs>
          <w:tab w:val="left" w:pos="446"/>
          <w:tab w:val="left" w:pos="907"/>
        </w:tabs>
        <w:rPr>
          <w:rFonts w:ascii="Times New Roman" w:hAnsi="Times New Roman"/>
          <w:szCs w:val="24"/>
        </w:rPr>
      </w:pPr>
      <w:r w:rsidRPr="005659B5">
        <w:rPr>
          <w:rFonts w:ascii="Times New Roman" w:hAnsi="Times New Roman"/>
          <w:szCs w:val="24"/>
        </w:rPr>
        <w:t xml:space="preserve">To evaluate the potential impact of such a capital structure change on </w:t>
      </w:r>
      <w:proofErr w:type="spellStart"/>
      <w:r w:rsidRPr="005659B5">
        <w:rPr>
          <w:rFonts w:ascii="Times New Roman" w:hAnsi="Times New Roman"/>
          <w:szCs w:val="24"/>
        </w:rPr>
        <w:t>Greengable’s</w:t>
      </w:r>
      <w:proofErr w:type="spellEnd"/>
      <w:r w:rsidRPr="005659B5">
        <w:rPr>
          <w:rFonts w:ascii="Times New Roman" w:hAnsi="Times New Roman"/>
          <w:szCs w:val="24"/>
        </w:rPr>
        <w:t xml:space="preserve"> investment, she</w:t>
      </w:r>
      <w:r>
        <w:rPr>
          <w:rFonts w:ascii="Times New Roman" w:hAnsi="Times New Roman"/>
          <w:szCs w:val="24"/>
        </w:rPr>
        <w:t xml:space="preserve"> </w:t>
      </w:r>
      <w:r w:rsidRPr="005659B5">
        <w:rPr>
          <w:rFonts w:ascii="Times New Roman" w:hAnsi="Times New Roman"/>
          <w:szCs w:val="24"/>
        </w:rPr>
        <w:t>gathers the information about MBG given in Exhibit 1.</w:t>
      </w:r>
    </w:p>
    <w:p w:rsidR="00F308C6" w:rsidRDefault="00F308C6" w:rsidP="00F308C6">
      <w:pPr>
        <w:tabs>
          <w:tab w:val="left" w:pos="446"/>
          <w:tab w:val="left" w:pos="907"/>
        </w:tabs>
        <w:rPr>
          <w:rFonts w:ascii="Times New Roman" w:hAnsi="Times New Roman"/>
          <w:szCs w:val="24"/>
        </w:rPr>
      </w:pPr>
    </w:p>
    <w:p w:rsidR="00F308C6" w:rsidRDefault="00F308C6" w:rsidP="00F308C6">
      <w:pPr>
        <w:tabs>
          <w:tab w:val="left" w:pos="446"/>
          <w:tab w:val="left" w:pos="907"/>
        </w:tabs>
        <w:rPr>
          <w:rFonts w:ascii="Times New Roman" w:hAnsi="Times New Roman"/>
          <w:szCs w:val="24"/>
        </w:rPr>
      </w:pPr>
      <w:r w:rsidRPr="005659B5">
        <w:rPr>
          <w:rFonts w:ascii="Times New Roman" w:hAnsi="Times New Roman"/>
          <w:szCs w:val="24"/>
        </w:rPr>
        <w:t>Exhibit 1. Current Selected Financial Information for MBG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2"/>
      </w:tblGrid>
      <w:tr w:rsidR="00F308C6" w:rsidRPr="00AE3C50" w:rsidTr="00B43951">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Yield to maturity on debt</w:t>
            </w:r>
          </w:p>
        </w:tc>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8.00%</w:t>
            </w:r>
          </w:p>
        </w:tc>
      </w:tr>
      <w:tr w:rsidR="00F308C6" w:rsidRPr="00AE3C50" w:rsidTr="00B43951">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Market value of debt</w:t>
            </w:r>
          </w:p>
        </w:tc>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$100 million</w:t>
            </w:r>
          </w:p>
        </w:tc>
      </w:tr>
      <w:tr w:rsidR="00F308C6" w:rsidRPr="00AE3C50" w:rsidTr="00B43951">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Number of shares of common stock</w:t>
            </w:r>
          </w:p>
        </w:tc>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10 million</w:t>
            </w:r>
          </w:p>
        </w:tc>
      </w:tr>
      <w:tr w:rsidR="00F308C6" w:rsidRPr="00AE3C50" w:rsidTr="00B43951">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Market price per share of common stock</w:t>
            </w:r>
          </w:p>
        </w:tc>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$30</w:t>
            </w:r>
          </w:p>
        </w:tc>
      </w:tr>
      <w:tr w:rsidR="00F308C6" w:rsidRPr="00AE3C50" w:rsidTr="00B43951">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Cost of capital if all equity-financed</w:t>
            </w:r>
          </w:p>
        </w:tc>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10.3%</w:t>
            </w:r>
          </w:p>
        </w:tc>
      </w:tr>
      <w:tr w:rsidR="00F308C6" w:rsidRPr="00AE3C50" w:rsidTr="00B43951">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Marginal tax rate</w:t>
            </w:r>
          </w:p>
        </w:tc>
        <w:tc>
          <w:tcPr>
            <w:tcW w:w="4428"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35%</w:t>
            </w:r>
          </w:p>
        </w:tc>
      </w:tr>
    </w:tbl>
    <w:p w:rsidR="00F308C6" w:rsidRDefault="00F308C6" w:rsidP="00F308C6">
      <w:pPr>
        <w:tabs>
          <w:tab w:val="left" w:pos="446"/>
          <w:tab w:val="left" w:pos="907"/>
        </w:tabs>
        <w:rPr>
          <w:rFonts w:ascii="Times New Roman" w:hAnsi="Times New Roman"/>
          <w:szCs w:val="24"/>
        </w:rPr>
      </w:pPr>
    </w:p>
    <w:p w:rsidR="00F308C6" w:rsidRDefault="00F308C6" w:rsidP="00F308C6">
      <w:pPr>
        <w:tabs>
          <w:tab w:val="left" w:pos="446"/>
          <w:tab w:val="left" w:pos="907"/>
        </w:tabs>
        <w:rPr>
          <w:rFonts w:ascii="Times New Roman" w:hAnsi="Times New Roman"/>
          <w:szCs w:val="24"/>
        </w:rPr>
      </w:pPr>
      <w:r w:rsidRPr="00B07904">
        <w:rPr>
          <w:rFonts w:ascii="Times New Roman" w:hAnsi="Times New Roman"/>
          <w:szCs w:val="24"/>
        </w:rPr>
        <w:t>Andrade expects that an increase in MBG’s financial leverage will increase its costs of debt and equity.</w:t>
      </w:r>
      <w:r>
        <w:rPr>
          <w:rFonts w:ascii="Times New Roman" w:hAnsi="Times New Roman"/>
          <w:szCs w:val="24"/>
        </w:rPr>
        <w:t xml:space="preserve"> </w:t>
      </w:r>
      <w:r w:rsidRPr="00B07904">
        <w:rPr>
          <w:rFonts w:ascii="Times New Roman" w:hAnsi="Times New Roman"/>
          <w:szCs w:val="24"/>
        </w:rPr>
        <w:t>Based on an examination of similar companies in MBG’s industry, Andrade estimates MBG’s cost of</w:t>
      </w:r>
      <w:r>
        <w:rPr>
          <w:rFonts w:ascii="Times New Roman" w:hAnsi="Times New Roman"/>
          <w:szCs w:val="24"/>
        </w:rPr>
        <w:t xml:space="preserve"> </w:t>
      </w:r>
      <w:r w:rsidRPr="00B07904">
        <w:rPr>
          <w:rFonts w:ascii="Times New Roman" w:hAnsi="Times New Roman"/>
          <w:szCs w:val="24"/>
        </w:rPr>
        <w:t>debt and cost of equity at various debt-to-total capital ratios, as shown in Exhibit 2.</w:t>
      </w:r>
    </w:p>
    <w:p w:rsidR="00F308C6" w:rsidRDefault="00F308C6" w:rsidP="00F308C6">
      <w:pPr>
        <w:tabs>
          <w:tab w:val="left" w:pos="446"/>
          <w:tab w:val="left" w:pos="907"/>
        </w:tabs>
        <w:rPr>
          <w:rFonts w:ascii="Times New Roman" w:hAnsi="Times New Roman"/>
          <w:szCs w:val="24"/>
        </w:rPr>
      </w:pPr>
    </w:p>
    <w:p w:rsidR="00F308C6" w:rsidRDefault="00F308C6" w:rsidP="00F308C6">
      <w:pPr>
        <w:tabs>
          <w:tab w:val="left" w:pos="446"/>
          <w:tab w:val="left" w:pos="907"/>
        </w:tabs>
        <w:rPr>
          <w:rFonts w:ascii="Times New Roman" w:hAnsi="Times New Roman"/>
          <w:szCs w:val="24"/>
        </w:rPr>
      </w:pPr>
      <w:r w:rsidRPr="00B07904">
        <w:rPr>
          <w:rFonts w:ascii="Times New Roman" w:hAnsi="Times New Roman"/>
          <w:szCs w:val="24"/>
        </w:rPr>
        <w:t>Exhibit 2. Estimates of MBG’s before Tax Costs of Debt and Equity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2470"/>
        <w:gridCol w:w="2878"/>
      </w:tblGrid>
      <w:tr w:rsidR="00F308C6" w:rsidRPr="00AE3C50" w:rsidTr="00B43951">
        <w:tc>
          <w:tcPr>
            <w:tcW w:w="3369"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Debt-to-Total Capital Ratio (%)</w:t>
            </w:r>
          </w:p>
        </w:tc>
        <w:tc>
          <w:tcPr>
            <w:tcW w:w="2535"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Cost of Debt (%)</w:t>
            </w:r>
          </w:p>
        </w:tc>
        <w:tc>
          <w:tcPr>
            <w:tcW w:w="2952"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Cost of Equity (%)</w:t>
            </w:r>
          </w:p>
        </w:tc>
      </w:tr>
      <w:tr w:rsidR="00F308C6" w:rsidRPr="00AE3C50" w:rsidTr="00B43951">
        <w:tc>
          <w:tcPr>
            <w:tcW w:w="3369"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20</w:t>
            </w:r>
          </w:p>
        </w:tc>
        <w:tc>
          <w:tcPr>
            <w:tcW w:w="2535"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7.7</w:t>
            </w:r>
          </w:p>
        </w:tc>
        <w:tc>
          <w:tcPr>
            <w:tcW w:w="2952"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12.5</w:t>
            </w:r>
          </w:p>
        </w:tc>
      </w:tr>
      <w:tr w:rsidR="00F308C6" w:rsidRPr="00AE3C50" w:rsidTr="00B43951">
        <w:tc>
          <w:tcPr>
            <w:tcW w:w="3369"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30</w:t>
            </w:r>
          </w:p>
        </w:tc>
        <w:tc>
          <w:tcPr>
            <w:tcW w:w="2535"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8.4</w:t>
            </w:r>
          </w:p>
        </w:tc>
        <w:tc>
          <w:tcPr>
            <w:tcW w:w="2952"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13.0</w:t>
            </w:r>
          </w:p>
        </w:tc>
      </w:tr>
      <w:tr w:rsidR="00F308C6" w:rsidRPr="00AE3C50" w:rsidTr="00B43951">
        <w:tc>
          <w:tcPr>
            <w:tcW w:w="3369"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40</w:t>
            </w:r>
          </w:p>
        </w:tc>
        <w:tc>
          <w:tcPr>
            <w:tcW w:w="2535"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9.3</w:t>
            </w:r>
          </w:p>
        </w:tc>
        <w:tc>
          <w:tcPr>
            <w:tcW w:w="2952"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14.0</w:t>
            </w:r>
          </w:p>
        </w:tc>
      </w:tr>
      <w:tr w:rsidR="00F308C6" w:rsidRPr="00AE3C50" w:rsidTr="00B43951">
        <w:tc>
          <w:tcPr>
            <w:tcW w:w="3369"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50</w:t>
            </w:r>
          </w:p>
        </w:tc>
        <w:tc>
          <w:tcPr>
            <w:tcW w:w="2535"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10.4</w:t>
            </w:r>
          </w:p>
        </w:tc>
        <w:tc>
          <w:tcPr>
            <w:tcW w:w="2952" w:type="dxa"/>
            <w:shd w:val="clear" w:color="auto" w:fill="auto"/>
          </w:tcPr>
          <w:p w:rsidR="00F308C6" w:rsidRPr="00AE3C50" w:rsidRDefault="00F308C6" w:rsidP="00B43951">
            <w:pPr>
              <w:tabs>
                <w:tab w:val="left" w:pos="446"/>
                <w:tab w:val="left" w:pos="907"/>
              </w:tabs>
              <w:jc w:val="center"/>
              <w:rPr>
                <w:rFonts w:ascii="Times New Roman" w:hAnsi="Times New Roman"/>
                <w:szCs w:val="24"/>
              </w:rPr>
            </w:pPr>
            <w:r w:rsidRPr="00AE3C50">
              <w:rPr>
                <w:rFonts w:ascii="Times New Roman" w:hAnsi="Times New Roman"/>
                <w:szCs w:val="24"/>
              </w:rPr>
              <w:t>16.0</w:t>
            </w:r>
          </w:p>
        </w:tc>
      </w:tr>
    </w:tbl>
    <w:p w:rsidR="00F308C6" w:rsidRDefault="00F308C6" w:rsidP="00F308C6">
      <w:pPr>
        <w:tabs>
          <w:tab w:val="left" w:pos="446"/>
          <w:tab w:val="left" w:pos="907"/>
        </w:tabs>
        <w:rPr>
          <w:rFonts w:ascii="Times New Roman" w:hAnsi="Times New Roman"/>
          <w:szCs w:val="24"/>
        </w:rPr>
      </w:pP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8. MBG is best described as currently:</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A. 25% debt-financed and 75% equity-financed.</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B. 33% debt-financed and 66% equity-financed.</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C. 75% debt-financed and 25% equity-financed.</w:t>
      </w:r>
    </w:p>
    <w:p w:rsidR="00F308C6" w:rsidRDefault="00F308C6" w:rsidP="00F308C6">
      <w:pPr>
        <w:tabs>
          <w:tab w:val="left" w:pos="446"/>
          <w:tab w:val="left" w:pos="907"/>
        </w:tabs>
        <w:rPr>
          <w:rFonts w:ascii="Times New Roman" w:hAnsi="Times New Roman"/>
          <w:szCs w:val="24"/>
        </w:rPr>
      </w:pP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9. Based on Exhibits 1 and 2, the current after-tax cost of debt for MBG is closest to:</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A. 2.80%.</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B. 5.20%.</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C. 7.65%.</w:t>
      </w:r>
    </w:p>
    <w:p w:rsidR="00F308C6" w:rsidRDefault="00F308C6" w:rsidP="00F308C6">
      <w:pPr>
        <w:tabs>
          <w:tab w:val="left" w:pos="446"/>
          <w:tab w:val="left" w:pos="907"/>
        </w:tabs>
        <w:rPr>
          <w:rFonts w:ascii="Times New Roman" w:hAnsi="Times New Roman"/>
          <w:szCs w:val="24"/>
        </w:rPr>
      </w:pP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10. Based on Exhibits 1 and 2, MBG’s current cost of equity capital is closest to:</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A. 10.30%.</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B. 10.80%.</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C. 12.75%.</w:t>
      </w:r>
    </w:p>
    <w:p w:rsidR="00F308C6" w:rsidRDefault="00F308C6" w:rsidP="00F308C6">
      <w:pPr>
        <w:tabs>
          <w:tab w:val="left" w:pos="446"/>
          <w:tab w:val="left" w:pos="907"/>
        </w:tabs>
        <w:rPr>
          <w:rFonts w:ascii="Times New Roman" w:hAnsi="Times New Roman"/>
          <w:szCs w:val="24"/>
        </w:rPr>
      </w:pP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11. Based on Exhibits 1 and 2, what debt-to-total capital ratio would minimize MBG’s weighted</w:t>
      </w:r>
      <w:r>
        <w:rPr>
          <w:rFonts w:ascii="Times New Roman" w:hAnsi="Times New Roman"/>
          <w:szCs w:val="24"/>
        </w:rPr>
        <w:t xml:space="preserve"> </w:t>
      </w:r>
      <w:r w:rsidRPr="00520334">
        <w:rPr>
          <w:rFonts w:ascii="Times New Roman" w:hAnsi="Times New Roman"/>
          <w:szCs w:val="24"/>
        </w:rPr>
        <w:t>average cost of capital?</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A. 20%.</w:t>
      </w:r>
    </w:p>
    <w:p w:rsidR="00F308C6" w:rsidRPr="00520334" w:rsidRDefault="00F308C6" w:rsidP="00F308C6">
      <w:pPr>
        <w:tabs>
          <w:tab w:val="left" w:pos="446"/>
          <w:tab w:val="left" w:pos="907"/>
        </w:tabs>
        <w:rPr>
          <w:rFonts w:ascii="Times New Roman" w:hAnsi="Times New Roman"/>
          <w:szCs w:val="24"/>
        </w:rPr>
      </w:pPr>
      <w:r w:rsidRPr="00520334">
        <w:rPr>
          <w:rFonts w:ascii="Times New Roman" w:hAnsi="Times New Roman"/>
          <w:szCs w:val="24"/>
        </w:rPr>
        <w:t>B. 30%.</w:t>
      </w:r>
    </w:p>
    <w:p w:rsidR="00F308C6" w:rsidRDefault="00F308C6" w:rsidP="00F308C6">
      <w:pPr>
        <w:tabs>
          <w:tab w:val="left" w:pos="446"/>
          <w:tab w:val="left" w:pos="907"/>
        </w:tabs>
        <w:rPr>
          <w:rFonts w:ascii="Times New Roman" w:hAnsi="Times New Roman"/>
          <w:szCs w:val="24"/>
        </w:rPr>
      </w:pPr>
      <w:r w:rsidRPr="00520334">
        <w:rPr>
          <w:rFonts w:ascii="Times New Roman" w:hAnsi="Times New Roman"/>
          <w:szCs w:val="24"/>
        </w:rPr>
        <w:t>C. 40%.</w:t>
      </w:r>
    </w:p>
    <w:p w:rsidR="00F308C6" w:rsidRDefault="00F308C6" w:rsidP="00F308C6">
      <w:pPr>
        <w:tabs>
          <w:tab w:val="left" w:pos="446"/>
          <w:tab w:val="left" w:pos="907"/>
        </w:tabs>
        <w:rPr>
          <w:rFonts w:ascii="Times New Roman" w:hAnsi="Times New Roman"/>
          <w:szCs w:val="24"/>
        </w:rPr>
      </w:pPr>
    </w:p>
    <w:p w:rsidR="00F308C6" w:rsidRPr="00DB220D" w:rsidRDefault="00F308C6" w:rsidP="00F308C6">
      <w:pPr>
        <w:tabs>
          <w:tab w:val="left" w:pos="446"/>
          <w:tab w:val="left" w:pos="907"/>
        </w:tabs>
        <w:rPr>
          <w:rFonts w:ascii="Times New Roman" w:hAnsi="Times New Roman"/>
          <w:szCs w:val="24"/>
        </w:rPr>
      </w:pPr>
      <w:r w:rsidRPr="00DB220D">
        <w:rPr>
          <w:rFonts w:ascii="Times New Roman" w:hAnsi="Times New Roman"/>
          <w:szCs w:val="24"/>
        </w:rPr>
        <w:t>12. Holding operating earnings constant, an increase in the marginal tax rate to 40 percent would:</w:t>
      </w:r>
    </w:p>
    <w:p w:rsidR="00F308C6" w:rsidRPr="00DB220D" w:rsidRDefault="00F308C6" w:rsidP="00F308C6">
      <w:pPr>
        <w:tabs>
          <w:tab w:val="left" w:pos="446"/>
          <w:tab w:val="left" w:pos="907"/>
        </w:tabs>
        <w:rPr>
          <w:rFonts w:ascii="Times New Roman" w:hAnsi="Times New Roman"/>
          <w:szCs w:val="24"/>
        </w:rPr>
      </w:pPr>
      <w:r w:rsidRPr="00DB220D">
        <w:rPr>
          <w:rFonts w:ascii="Times New Roman" w:hAnsi="Times New Roman"/>
          <w:szCs w:val="24"/>
        </w:rPr>
        <w:t>A. result in a lower cost of debt capital.</w:t>
      </w:r>
    </w:p>
    <w:p w:rsidR="00F308C6" w:rsidRPr="00DB220D" w:rsidRDefault="00F308C6" w:rsidP="00F308C6">
      <w:pPr>
        <w:tabs>
          <w:tab w:val="left" w:pos="446"/>
          <w:tab w:val="left" w:pos="907"/>
        </w:tabs>
        <w:rPr>
          <w:rFonts w:ascii="Times New Roman" w:hAnsi="Times New Roman"/>
          <w:szCs w:val="24"/>
        </w:rPr>
      </w:pPr>
      <w:r w:rsidRPr="00DB220D">
        <w:rPr>
          <w:rFonts w:ascii="Times New Roman" w:hAnsi="Times New Roman"/>
          <w:szCs w:val="24"/>
        </w:rPr>
        <w:lastRenderedPageBreak/>
        <w:t>B. result in a higher cost of debt capital.</w:t>
      </w:r>
    </w:p>
    <w:p w:rsidR="00F308C6" w:rsidRPr="00DB220D" w:rsidRDefault="00F308C6" w:rsidP="00F308C6">
      <w:pPr>
        <w:tabs>
          <w:tab w:val="left" w:pos="446"/>
          <w:tab w:val="left" w:pos="907"/>
        </w:tabs>
        <w:rPr>
          <w:rFonts w:ascii="Times New Roman" w:hAnsi="Times New Roman"/>
          <w:szCs w:val="24"/>
        </w:rPr>
      </w:pPr>
      <w:r w:rsidRPr="00DB220D">
        <w:rPr>
          <w:rFonts w:ascii="Times New Roman" w:hAnsi="Times New Roman"/>
          <w:szCs w:val="24"/>
        </w:rPr>
        <w:t>C. not affect the company’s cost of capital.</w:t>
      </w:r>
    </w:p>
    <w:p w:rsidR="00F308C6" w:rsidRDefault="00F308C6" w:rsidP="00F308C6">
      <w:pPr>
        <w:tabs>
          <w:tab w:val="left" w:pos="446"/>
          <w:tab w:val="left" w:pos="907"/>
        </w:tabs>
        <w:rPr>
          <w:rFonts w:ascii="Times New Roman" w:hAnsi="Times New Roman"/>
          <w:szCs w:val="24"/>
        </w:rPr>
      </w:pPr>
    </w:p>
    <w:p w:rsidR="00F308C6" w:rsidRPr="00DB220D" w:rsidRDefault="00F308C6" w:rsidP="00F308C6">
      <w:pPr>
        <w:tabs>
          <w:tab w:val="left" w:pos="446"/>
          <w:tab w:val="left" w:pos="907"/>
        </w:tabs>
        <w:rPr>
          <w:rFonts w:ascii="Times New Roman" w:hAnsi="Times New Roman"/>
          <w:szCs w:val="24"/>
        </w:rPr>
      </w:pPr>
      <w:r w:rsidRPr="00DB220D">
        <w:rPr>
          <w:rFonts w:ascii="Times New Roman" w:hAnsi="Times New Roman"/>
          <w:szCs w:val="24"/>
        </w:rPr>
        <w:t>13. According to the pecking order theory, MBG’s announced capital structure change:</w:t>
      </w:r>
    </w:p>
    <w:p w:rsidR="00F308C6" w:rsidRPr="00DB220D" w:rsidRDefault="00F308C6" w:rsidP="00F308C6">
      <w:pPr>
        <w:tabs>
          <w:tab w:val="left" w:pos="446"/>
          <w:tab w:val="left" w:pos="907"/>
        </w:tabs>
        <w:rPr>
          <w:rFonts w:ascii="Times New Roman" w:hAnsi="Times New Roman"/>
          <w:szCs w:val="24"/>
        </w:rPr>
      </w:pPr>
      <w:r w:rsidRPr="00DB220D">
        <w:rPr>
          <w:rFonts w:ascii="Times New Roman" w:hAnsi="Times New Roman"/>
          <w:szCs w:val="24"/>
        </w:rPr>
        <w:t>A. is optimal because debt is cheaper than equity on an after-tax basis.</w:t>
      </w:r>
    </w:p>
    <w:p w:rsidR="00F308C6" w:rsidRPr="00DB220D" w:rsidRDefault="00F308C6" w:rsidP="00F308C6">
      <w:pPr>
        <w:tabs>
          <w:tab w:val="left" w:pos="446"/>
          <w:tab w:val="left" w:pos="907"/>
        </w:tabs>
        <w:rPr>
          <w:rFonts w:ascii="Times New Roman" w:hAnsi="Times New Roman"/>
          <w:szCs w:val="24"/>
        </w:rPr>
      </w:pPr>
      <w:r w:rsidRPr="00DB220D">
        <w:rPr>
          <w:rFonts w:ascii="Times New Roman" w:hAnsi="Times New Roman"/>
          <w:szCs w:val="24"/>
        </w:rPr>
        <w:t>B. may be optimal if new debt is issued after new equity is made complete use of as a source of</w:t>
      </w:r>
      <w:r>
        <w:rPr>
          <w:rFonts w:ascii="Times New Roman" w:hAnsi="Times New Roman"/>
          <w:szCs w:val="24"/>
        </w:rPr>
        <w:t xml:space="preserve"> </w:t>
      </w:r>
      <w:r w:rsidRPr="00DB220D">
        <w:rPr>
          <w:rFonts w:ascii="Times New Roman" w:hAnsi="Times New Roman"/>
          <w:szCs w:val="24"/>
        </w:rPr>
        <w:t>capital.</w:t>
      </w:r>
    </w:p>
    <w:p w:rsidR="00F308C6" w:rsidRDefault="00F308C6" w:rsidP="00F308C6">
      <w:pPr>
        <w:tabs>
          <w:tab w:val="left" w:pos="446"/>
          <w:tab w:val="left" w:pos="907"/>
        </w:tabs>
        <w:rPr>
          <w:rFonts w:ascii="Times New Roman" w:hAnsi="Times New Roman"/>
          <w:szCs w:val="24"/>
        </w:rPr>
      </w:pPr>
      <w:r w:rsidRPr="00DB220D">
        <w:rPr>
          <w:rFonts w:ascii="Times New Roman" w:hAnsi="Times New Roman"/>
          <w:szCs w:val="24"/>
        </w:rPr>
        <w:t>C. may be optimal if new debt is issued after internally generated funds are made complete use</w:t>
      </w:r>
      <w:r>
        <w:rPr>
          <w:rFonts w:ascii="Times New Roman" w:hAnsi="Times New Roman"/>
          <w:szCs w:val="24"/>
        </w:rPr>
        <w:t xml:space="preserve"> </w:t>
      </w:r>
      <w:r w:rsidRPr="00DB220D">
        <w:rPr>
          <w:rFonts w:ascii="Times New Roman" w:hAnsi="Times New Roman"/>
          <w:szCs w:val="24"/>
        </w:rPr>
        <w:t>of as a source of capital</w:t>
      </w:r>
    </w:p>
    <w:p w:rsidR="00F308C6" w:rsidRDefault="00F308C6" w:rsidP="00F308C6">
      <w:pPr>
        <w:tabs>
          <w:tab w:val="left" w:pos="446"/>
          <w:tab w:val="left" w:pos="907"/>
        </w:tabs>
        <w:rPr>
          <w:rFonts w:ascii="Times New Roman" w:hAnsi="Times New Roman"/>
          <w:szCs w:val="24"/>
        </w:rPr>
      </w:pPr>
    </w:p>
    <w:p w:rsidR="00F308C6" w:rsidRPr="00DB220D" w:rsidRDefault="00F308C6" w:rsidP="00F308C6">
      <w:pPr>
        <w:tabs>
          <w:tab w:val="left" w:pos="446"/>
          <w:tab w:val="left" w:pos="907"/>
        </w:tabs>
        <w:rPr>
          <w:rFonts w:ascii="Times New Roman" w:hAnsi="Times New Roman"/>
          <w:b/>
          <w:sz w:val="28"/>
          <w:szCs w:val="28"/>
        </w:rPr>
      </w:pPr>
      <w:r w:rsidRPr="00DB220D">
        <w:rPr>
          <w:rFonts w:ascii="Times New Roman" w:hAnsi="Times New Roman"/>
          <w:b/>
          <w:sz w:val="28"/>
          <w:szCs w:val="28"/>
        </w:rPr>
        <w:t>The following information relates to Questions 14–19</w:t>
      </w:r>
    </w:p>
    <w:p w:rsidR="00F308C6" w:rsidRDefault="00F308C6" w:rsidP="00F308C6">
      <w:pPr>
        <w:tabs>
          <w:tab w:val="left" w:pos="446"/>
          <w:tab w:val="left" w:pos="907"/>
        </w:tabs>
        <w:rPr>
          <w:rFonts w:ascii="Times New Roman" w:hAnsi="Times New Roman"/>
          <w:szCs w:val="24"/>
        </w:rPr>
      </w:pPr>
    </w:p>
    <w:p w:rsidR="00F308C6" w:rsidRDefault="00F308C6" w:rsidP="00F308C6">
      <w:pPr>
        <w:tabs>
          <w:tab w:val="left" w:pos="446"/>
          <w:tab w:val="left" w:pos="907"/>
        </w:tabs>
        <w:rPr>
          <w:rFonts w:ascii="Times New Roman" w:hAnsi="Times New Roman"/>
          <w:szCs w:val="24"/>
        </w:rPr>
      </w:pPr>
      <w:r w:rsidRPr="00DB220D">
        <w:rPr>
          <w:rFonts w:ascii="Times New Roman" w:hAnsi="Times New Roman"/>
          <w:szCs w:val="24"/>
        </w:rPr>
        <w:t>Lindsay White, CFA, is an analyst with a firm in London, England. She is responsible for covering five</w:t>
      </w:r>
      <w:r>
        <w:rPr>
          <w:rFonts w:ascii="Times New Roman" w:hAnsi="Times New Roman"/>
          <w:szCs w:val="24"/>
        </w:rPr>
        <w:t xml:space="preserve"> </w:t>
      </w:r>
      <w:r w:rsidRPr="00DB220D">
        <w:rPr>
          <w:rFonts w:ascii="Times New Roman" w:hAnsi="Times New Roman"/>
          <w:szCs w:val="24"/>
        </w:rPr>
        <w:t>companies in the Consumer Staples industry. White believes the domestic and global economies will</w:t>
      </w:r>
      <w:r>
        <w:rPr>
          <w:rFonts w:ascii="Times New Roman" w:hAnsi="Times New Roman"/>
          <w:szCs w:val="24"/>
        </w:rPr>
        <w:t xml:space="preserve"> </w:t>
      </w:r>
      <w:r w:rsidRPr="00DB220D">
        <w:rPr>
          <w:rFonts w:ascii="Times New Roman" w:hAnsi="Times New Roman"/>
          <w:szCs w:val="24"/>
        </w:rPr>
        <w:t>grow slightly below average over the next two years, but she is also concerned about the possibility of a</w:t>
      </w:r>
      <w:r>
        <w:rPr>
          <w:rFonts w:ascii="Times New Roman" w:hAnsi="Times New Roman"/>
          <w:szCs w:val="24"/>
        </w:rPr>
        <w:t xml:space="preserve"> </w:t>
      </w:r>
      <w:r w:rsidRPr="00DB220D">
        <w:rPr>
          <w:rFonts w:ascii="Times New Roman" w:hAnsi="Times New Roman"/>
          <w:szCs w:val="24"/>
        </w:rPr>
        <w:t>mild recession taking hold. She has been asked to review the companies that she covers, and she has</w:t>
      </w:r>
      <w:r>
        <w:rPr>
          <w:rFonts w:ascii="Times New Roman" w:hAnsi="Times New Roman"/>
          <w:szCs w:val="24"/>
        </w:rPr>
        <w:t xml:space="preserve"> </w:t>
      </w:r>
      <w:r w:rsidRPr="00DB220D">
        <w:rPr>
          <w:rFonts w:ascii="Times New Roman" w:hAnsi="Times New Roman"/>
          <w:szCs w:val="24"/>
        </w:rPr>
        <w:t>collected information about them, presented in Exhibit 1. White has estimated that earnings before</w:t>
      </w:r>
      <w:r>
        <w:rPr>
          <w:rFonts w:ascii="Times New Roman" w:hAnsi="Times New Roman"/>
          <w:szCs w:val="24"/>
        </w:rPr>
        <w:t xml:space="preserve"> </w:t>
      </w:r>
      <w:r w:rsidRPr="00DB220D">
        <w:rPr>
          <w:rFonts w:ascii="Times New Roman" w:hAnsi="Times New Roman"/>
          <w:szCs w:val="24"/>
        </w:rPr>
        <w:t>interest and taxes (EBIT) will remain constant for all five companies for the foreseeable future. Currency</w:t>
      </w:r>
      <w:r>
        <w:rPr>
          <w:rFonts w:ascii="Times New Roman" w:hAnsi="Times New Roman"/>
          <w:szCs w:val="24"/>
        </w:rPr>
        <w:t xml:space="preserve"> </w:t>
      </w:r>
      <w:r w:rsidRPr="00DB220D">
        <w:rPr>
          <w:rFonts w:ascii="Times New Roman" w:hAnsi="Times New Roman"/>
          <w:szCs w:val="24"/>
        </w:rPr>
        <w:t>is in terms of the British pound (£).The marginal corporate tax rate is 30% for all five companies.</w:t>
      </w:r>
    </w:p>
    <w:p w:rsidR="00F308C6" w:rsidRDefault="00F308C6" w:rsidP="00F308C6">
      <w:pPr>
        <w:tabs>
          <w:tab w:val="left" w:pos="446"/>
          <w:tab w:val="left" w:pos="907"/>
        </w:tabs>
        <w:rPr>
          <w:rFonts w:ascii="Times New Roman" w:hAnsi="Times New Roman"/>
          <w:szCs w:val="24"/>
        </w:rPr>
      </w:pPr>
    </w:p>
    <w:p w:rsidR="00F308C6" w:rsidRDefault="00F308C6" w:rsidP="00F308C6">
      <w:pPr>
        <w:tabs>
          <w:tab w:val="left" w:pos="446"/>
          <w:tab w:val="left" w:pos="907"/>
        </w:tabs>
        <w:rPr>
          <w:rFonts w:ascii="Times New Roman" w:hAnsi="Times New Roman"/>
          <w:szCs w:val="24"/>
        </w:rPr>
      </w:pPr>
      <w:r w:rsidRPr="00DB220D">
        <w:rPr>
          <w:rFonts w:ascii="Times New Roman" w:hAnsi="Times New Roman"/>
          <w:szCs w:val="24"/>
        </w:rPr>
        <w:t>Exhibit 1. Selected Company Financial Data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134"/>
        <w:gridCol w:w="1134"/>
        <w:gridCol w:w="1275"/>
        <w:gridCol w:w="1276"/>
      </w:tblGrid>
      <w:tr w:rsidR="00F308C6" w:rsidRPr="00AE3C50" w:rsidTr="00B43951">
        <w:tc>
          <w:tcPr>
            <w:tcW w:w="3227" w:type="dxa"/>
            <w:shd w:val="clear" w:color="auto" w:fill="auto"/>
          </w:tcPr>
          <w:p w:rsidR="00F308C6" w:rsidRPr="00AE3C50" w:rsidRDefault="00F308C6" w:rsidP="00B43951">
            <w:pPr>
              <w:tabs>
                <w:tab w:val="left" w:pos="446"/>
                <w:tab w:val="left" w:pos="907"/>
              </w:tabs>
              <w:rPr>
                <w:rFonts w:ascii="Times New Roman" w:hAnsi="Times New Roman"/>
                <w:szCs w:val="24"/>
              </w:rPr>
            </w:pP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Aquarius</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Bema</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Garth</w:t>
            </w:r>
          </w:p>
        </w:tc>
        <w:tc>
          <w:tcPr>
            <w:tcW w:w="1275" w:type="dxa"/>
            <w:shd w:val="clear" w:color="auto" w:fill="auto"/>
          </w:tcPr>
          <w:p w:rsidR="00F308C6" w:rsidRPr="00AE3C50" w:rsidRDefault="00F308C6" w:rsidP="00B43951">
            <w:pPr>
              <w:tabs>
                <w:tab w:val="left" w:pos="446"/>
                <w:tab w:val="left" w:pos="907"/>
              </w:tabs>
              <w:rPr>
                <w:rFonts w:ascii="Times New Roman" w:hAnsi="Times New Roman"/>
                <w:szCs w:val="24"/>
              </w:rPr>
            </w:pPr>
            <w:proofErr w:type="spellStart"/>
            <w:r w:rsidRPr="00AE3C50">
              <w:rPr>
                <w:rFonts w:ascii="Times New Roman" w:hAnsi="Times New Roman"/>
                <w:szCs w:val="24"/>
              </w:rPr>
              <w:t>Holte</w:t>
            </w:r>
            <w:proofErr w:type="spellEnd"/>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Vega</w:t>
            </w:r>
          </w:p>
        </w:tc>
      </w:tr>
      <w:tr w:rsidR="00F308C6" w:rsidRPr="00AE3C50" w:rsidTr="00B43951">
        <w:tc>
          <w:tcPr>
            <w:tcW w:w="3227"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EBIT (£)</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600,000</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600,000</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400,000</w:t>
            </w:r>
          </w:p>
        </w:tc>
        <w:tc>
          <w:tcPr>
            <w:tcW w:w="1275"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400,000</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400,000</w:t>
            </w:r>
          </w:p>
        </w:tc>
      </w:tr>
      <w:tr w:rsidR="00F308C6" w:rsidRPr="00AE3C50" w:rsidTr="00B43951">
        <w:tc>
          <w:tcPr>
            <w:tcW w:w="3227"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Debt-to-equity ratio (market value)</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0.60</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0.00</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0.00</w:t>
            </w:r>
          </w:p>
        </w:tc>
        <w:tc>
          <w:tcPr>
            <w:tcW w:w="1275"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0.71</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0.62</w:t>
            </w:r>
          </w:p>
        </w:tc>
      </w:tr>
      <w:tr w:rsidR="00F308C6" w:rsidRPr="00AE3C50" w:rsidTr="00B43951">
        <w:tc>
          <w:tcPr>
            <w:tcW w:w="3227"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Debt (market value) (£)</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2,000,000</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0</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0</w:t>
            </w:r>
          </w:p>
        </w:tc>
        <w:tc>
          <w:tcPr>
            <w:tcW w:w="1275"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2,000,000</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2,000,000</w:t>
            </w:r>
          </w:p>
        </w:tc>
      </w:tr>
      <w:tr w:rsidR="00F308C6" w:rsidRPr="00AE3C50" w:rsidTr="00B43951">
        <w:tc>
          <w:tcPr>
            <w:tcW w:w="3227"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S&amp;P debt rating</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 xml:space="preserve">A+ </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proofErr w:type="spellStart"/>
            <w:r w:rsidRPr="00AE3C50">
              <w:rPr>
                <w:rFonts w:ascii="Times New Roman" w:hAnsi="Times New Roman"/>
                <w:szCs w:val="24"/>
              </w:rPr>
              <w:t>n.a</w:t>
            </w:r>
            <w:proofErr w:type="spellEnd"/>
            <w:r w:rsidRPr="00AE3C50">
              <w:rPr>
                <w:rFonts w:ascii="Times New Roman" w:hAnsi="Times New Roman"/>
                <w:szCs w:val="24"/>
              </w:rPr>
              <w:t>.</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proofErr w:type="spellStart"/>
            <w:r w:rsidRPr="00AE3C50">
              <w:rPr>
                <w:rFonts w:ascii="Times New Roman" w:hAnsi="Times New Roman"/>
                <w:szCs w:val="24"/>
              </w:rPr>
              <w:t>n.a</w:t>
            </w:r>
            <w:proofErr w:type="spellEnd"/>
            <w:r w:rsidRPr="00AE3C50">
              <w:rPr>
                <w:rFonts w:ascii="Times New Roman" w:hAnsi="Times New Roman"/>
                <w:szCs w:val="24"/>
              </w:rPr>
              <w:t>.</w:t>
            </w:r>
          </w:p>
        </w:tc>
        <w:tc>
          <w:tcPr>
            <w:tcW w:w="1275"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A–</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A</w:t>
            </w:r>
          </w:p>
        </w:tc>
      </w:tr>
      <w:tr w:rsidR="00F308C6" w:rsidRPr="00AE3C50" w:rsidTr="00B43951">
        <w:tc>
          <w:tcPr>
            <w:tcW w:w="3227"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Weighted average cost of capital</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10%</w:t>
            </w:r>
          </w:p>
        </w:tc>
        <w:tc>
          <w:tcPr>
            <w:tcW w:w="1134"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10%</w:t>
            </w:r>
          </w:p>
        </w:tc>
        <w:tc>
          <w:tcPr>
            <w:tcW w:w="1275"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w:t>
            </w:r>
          </w:p>
        </w:tc>
        <w:tc>
          <w:tcPr>
            <w:tcW w:w="1276" w:type="dxa"/>
            <w:shd w:val="clear" w:color="auto" w:fill="auto"/>
          </w:tcPr>
          <w:p w:rsidR="00F308C6" w:rsidRPr="00AE3C50" w:rsidRDefault="00F308C6" w:rsidP="00B43951">
            <w:pPr>
              <w:tabs>
                <w:tab w:val="left" w:pos="446"/>
                <w:tab w:val="left" w:pos="907"/>
              </w:tabs>
              <w:rPr>
                <w:rFonts w:ascii="Times New Roman" w:hAnsi="Times New Roman"/>
                <w:szCs w:val="24"/>
              </w:rPr>
            </w:pPr>
            <w:r w:rsidRPr="00AE3C50">
              <w:rPr>
                <w:rFonts w:ascii="Times New Roman" w:hAnsi="Times New Roman"/>
                <w:szCs w:val="24"/>
              </w:rPr>
              <w:t>—</w:t>
            </w:r>
          </w:p>
        </w:tc>
      </w:tr>
    </w:tbl>
    <w:p w:rsidR="00F308C6" w:rsidRDefault="00F308C6" w:rsidP="00F308C6">
      <w:pPr>
        <w:tabs>
          <w:tab w:val="left" w:pos="446"/>
          <w:tab w:val="left" w:pos="907"/>
        </w:tabs>
        <w:rPr>
          <w:rFonts w:ascii="Times New Roman" w:hAnsi="Times New Roman"/>
          <w:szCs w:val="24"/>
        </w:rPr>
      </w:pPr>
    </w:p>
    <w:p w:rsidR="00F308C6" w:rsidRDefault="00F308C6" w:rsidP="00F308C6">
      <w:pPr>
        <w:tabs>
          <w:tab w:val="left" w:pos="446"/>
          <w:tab w:val="left" w:pos="907"/>
        </w:tabs>
        <w:rPr>
          <w:rFonts w:ascii="Times New Roman" w:hAnsi="Times New Roman"/>
          <w:szCs w:val="24"/>
        </w:rPr>
      </w:pPr>
      <w:r w:rsidRPr="007C624A">
        <w:rPr>
          <w:rFonts w:ascii="Times New Roman" w:hAnsi="Times New Roman"/>
          <w:szCs w:val="24"/>
        </w:rPr>
        <w:t>Based on conversations with management of the five companies, as well as on her own independent</w:t>
      </w:r>
      <w:r>
        <w:rPr>
          <w:rFonts w:ascii="Times New Roman" w:hAnsi="Times New Roman"/>
          <w:szCs w:val="24"/>
        </w:rPr>
        <w:t xml:space="preserve"> </w:t>
      </w:r>
      <w:r w:rsidRPr="007C624A">
        <w:rPr>
          <w:rFonts w:ascii="Times New Roman" w:hAnsi="Times New Roman"/>
          <w:szCs w:val="24"/>
        </w:rPr>
        <w:t>research and analysis, White notes the following:</w:t>
      </w:r>
    </w:p>
    <w:p w:rsidR="00F308C6" w:rsidRPr="007C624A" w:rsidRDefault="00F308C6" w:rsidP="00F308C6">
      <w:pPr>
        <w:tabs>
          <w:tab w:val="left" w:pos="446"/>
          <w:tab w:val="left" w:pos="907"/>
        </w:tabs>
        <w:rPr>
          <w:rFonts w:ascii="Times New Roman" w:hAnsi="Times New Roman"/>
          <w:b/>
          <w:szCs w:val="24"/>
        </w:rPr>
      </w:pPr>
      <w:r w:rsidRPr="007C624A">
        <w:rPr>
          <w:rFonts w:ascii="Times New Roman" w:hAnsi="Times New Roman"/>
          <w:b/>
          <w:szCs w:val="24"/>
        </w:rPr>
        <w:t>Aquarius:</w:t>
      </w:r>
    </w:p>
    <w:p w:rsidR="00F308C6" w:rsidRPr="007C624A" w:rsidRDefault="00F308C6" w:rsidP="00F308C6">
      <w:pPr>
        <w:tabs>
          <w:tab w:val="left" w:pos="446"/>
          <w:tab w:val="left" w:pos="907"/>
        </w:tabs>
        <w:rPr>
          <w:rFonts w:ascii="Times New Roman" w:hAnsi="Times New Roman"/>
          <w:szCs w:val="24"/>
        </w:rPr>
      </w:pPr>
      <w:r w:rsidRPr="007C624A">
        <w:rPr>
          <w:rFonts w:ascii="Cambria Math" w:hAnsi="Cambria Math" w:cs="Cambria Math"/>
          <w:szCs w:val="24"/>
        </w:rPr>
        <w:t>◾</w:t>
      </w:r>
      <w:r w:rsidRPr="007C624A">
        <w:rPr>
          <w:rFonts w:ascii="Times New Roman" w:hAnsi="Times New Roman"/>
          <w:szCs w:val="24"/>
        </w:rPr>
        <w:t xml:space="preserve"> has lower bonding costs than does Bema.</w:t>
      </w:r>
    </w:p>
    <w:p w:rsidR="00F308C6" w:rsidRPr="007C624A" w:rsidRDefault="00F308C6" w:rsidP="00F308C6">
      <w:pPr>
        <w:tabs>
          <w:tab w:val="left" w:pos="446"/>
          <w:tab w:val="left" w:pos="907"/>
        </w:tabs>
        <w:rPr>
          <w:rFonts w:ascii="Times New Roman" w:hAnsi="Times New Roman"/>
          <w:szCs w:val="24"/>
        </w:rPr>
      </w:pPr>
      <w:r w:rsidRPr="007C624A">
        <w:rPr>
          <w:rFonts w:ascii="Cambria Math" w:hAnsi="Cambria Math" w:cs="Cambria Math"/>
          <w:szCs w:val="24"/>
        </w:rPr>
        <w:t>◾</w:t>
      </w:r>
      <w:r w:rsidRPr="007C624A">
        <w:rPr>
          <w:rFonts w:ascii="Times New Roman" w:hAnsi="Times New Roman"/>
          <w:szCs w:val="24"/>
        </w:rPr>
        <w:t xml:space="preserve"> has a higher percentage of tangible assets to total assets than does Bema.</w:t>
      </w:r>
    </w:p>
    <w:p w:rsidR="00F308C6" w:rsidRDefault="00F308C6" w:rsidP="00F308C6">
      <w:pPr>
        <w:tabs>
          <w:tab w:val="left" w:pos="446"/>
          <w:tab w:val="left" w:pos="907"/>
        </w:tabs>
        <w:rPr>
          <w:rFonts w:ascii="Times New Roman" w:hAnsi="Times New Roman"/>
          <w:szCs w:val="24"/>
        </w:rPr>
      </w:pPr>
      <w:r w:rsidRPr="007C624A">
        <w:rPr>
          <w:rFonts w:ascii="Cambria Math" w:hAnsi="Cambria Math" w:cs="Cambria Math"/>
          <w:szCs w:val="24"/>
        </w:rPr>
        <w:t>◾</w:t>
      </w:r>
      <w:r w:rsidRPr="007C624A">
        <w:rPr>
          <w:rFonts w:ascii="Times New Roman" w:hAnsi="Times New Roman"/>
          <w:szCs w:val="24"/>
        </w:rPr>
        <w:t xml:space="preserve"> has a higher degree of operating leverage than does Bema.</w:t>
      </w:r>
    </w:p>
    <w:p w:rsidR="00F308C6" w:rsidRDefault="00F308C6" w:rsidP="00F308C6">
      <w:pPr>
        <w:tabs>
          <w:tab w:val="left" w:pos="446"/>
          <w:tab w:val="left" w:pos="907"/>
        </w:tabs>
        <w:rPr>
          <w:rFonts w:ascii="Times New Roman" w:hAnsi="Times New Roman"/>
          <w:szCs w:val="24"/>
        </w:rPr>
      </w:pPr>
    </w:p>
    <w:p w:rsidR="00F308C6" w:rsidRPr="007C624A" w:rsidRDefault="00F308C6" w:rsidP="00F308C6">
      <w:pPr>
        <w:tabs>
          <w:tab w:val="left" w:pos="446"/>
          <w:tab w:val="left" w:pos="907"/>
        </w:tabs>
        <w:rPr>
          <w:rFonts w:ascii="Times New Roman" w:hAnsi="Times New Roman"/>
          <w:b/>
          <w:szCs w:val="24"/>
        </w:rPr>
      </w:pPr>
      <w:r w:rsidRPr="007C624A">
        <w:rPr>
          <w:rFonts w:ascii="Times New Roman" w:hAnsi="Times New Roman"/>
          <w:b/>
          <w:szCs w:val="24"/>
        </w:rPr>
        <w:t>Garth:</w:t>
      </w:r>
    </w:p>
    <w:p w:rsidR="00F308C6" w:rsidRPr="007C624A" w:rsidRDefault="00F308C6" w:rsidP="00F308C6">
      <w:pPr>
        <w:tabs>
          <w:tab w:val="left" w:pos="446"/>
          <w:tab w:val="left" w:pos="907"/>
        </w:tabs>
        <w:rPr>
          <w:rFonts w:ascii="Times New Roman" w:hAnsi="Times New Roman"/>
          <w:szCs w:val="24"/>
        </w:rPr>
      </w:pPr>
      <w:r w:rsidRPr="007C624A">
        <w:rPr>
          <w:rFonts w:ascii="Cambria Math" w:hAnsi="Cambria Math" w:cs="Cambria Math"/>
          <w:szCs w:val="24"/>
        </w:rPr>
        <w:t>◾</w:t>
      </w:r>
      <w:r w:rsidRPr="007C624A">
        <w:rPr>
          <w:rFonts w:ascii="Times New Roman" w:hAnsi="Times New Roman"/>
          <w:szCs w:val="24"/>
        </w:rPr>
        <w:t xml:space="preserve"> invests significantly less in research and development than does </w:t>
      </w:r>
      <w:proofErr w:type="spellStart"/>
      <w:r w:rsidRPr="007C624A">
        <w:rPr>
          <w:rFonts w:ascii="Times New Roman" w:hAnsi="Times New Roman"/>
          <w:szCs w:val="24"/>
        </w:rPr>
        <w:t>Holte</w:t>
      </w:r>
      <w:proofErr w:type="spellEnd"/>
      <w:r w:rsidRPr="007C624A">
        <w:rPr>
          <w:rFonts w:ascii="Times New Roman" w:hAnsi="Times New Roman"/>
          <w:szCs w:val="24"/>
        </w:rPr>
        <w:t>.</w:t>
      </w:r>
    </w:p>
    <w:p w:rsidR="00F308C6" w:rsidRPr="007C624A" w:rsidRDefault="00F308C6" w:rsidP="00F308C6">
      <w:pPr>
        <w:tabs>
          <w:tab w:val="left" w:pos="446"/>
          <w:tab w:val="left" w:pos="907"/>
        </w:tabs>
        <w:rPr>
          <w:rFonts w:ascii="Times New Roman" w:hAnsi="Times New Roman"/>
          <w:szCs w:val="24"/>
        </w:rPr>
      </w:pPr>
      <w:r w:rsidRPr="007C624A">
        <w:rPr>
          <w:rFonts w:ascii="Cambria Math" w:hAnsi="Cambria Math" w:cs="Cambria Math"/>
          <w:szCs w:val="24"/>
        </w:rPr>
        <w:t>◾</w:t>
      </w:r>
      <w:r w:rsidRPr="007C624A">
        <w:rPr>
          <w:rFonts w:ascii="Times New Roman" w:hAnsi="Times New Roman"/>
          <w:szCs w:val="24"/>
        </w:rPr>
        <w:t xml:space="preserve"> has a more highly developed corporate governance system than does </w:t>
      </w:r>
      <w:proofErr w:type="spellStart"/>
      <w:r w:rsidRPr="007C624A">
        <w:rPr>
          <w:rFonts w:ascii="Times New Roman" w:hAnsi="Times New Roman"/>
          <w:szCs w:val="24"/>
        </w:rPr>
        <w:t>Holte</w:t>
      </w:r>
      <w:proofErr w:type="spellEnd"/>
      <w:r w:rsidRPr="007C624A">
        <w:rPr>
          <w:rFonts w:ascii="Times New Roman" w:hAnsi="Times New Roman"/>
          <w:szCs w:val="24"/>
        </w:rPr>
        <w:t>.</w:t>
      </w:r>
    </w:p>
    <w:p w:rsidR="00F308C6" w:rsidRDefault="00F308C6" w:rsidP="00F308C6">
      <w:pPr>
        <w:tabs>
          <w:tab w:val="left" w:pos="446"/>
          <w:tab w:val="left" w:pos="907"/>
        </w:tabs>
        <w:rPr>
          <w:rFonts w:ascii="Times New Roman" w:hAnsi="Times New Roman"/>
          <w:szCs w:val="24"/>
        </w:rPr>
      </w:pPr>
      <w:r w:rsidRPr="007C624A">
        <w:rPr>
          <w:rFonts w:ascii="Cambria Math" w:hAnsi="Cambria Math" w:cs="Cambria Math"/>
          <w:szCs w:val="24"/>
        </w:rPr>
        <w:t>◾</w:t>
      </w:r>
      <w:r w:rsidRPr="007C624A">
        <w:rPr>
          <w:rFonts w:ascii="Times New Roman" w:hAnsi="Times New Roman"/>
          <w:szCs w:val="24"/>
        </w:rPr>
        <w:t xml:space="preserve"> has more business risk than does </w:t>
      </w:r>
      <w:proofErr w:type="spellStart"/>
      <w:r w:rsidRPr="007C624A">
        <w:rPr>
          <w:rFonts w:ascii="Times New Roman" w:hAnsi="Times New Roman"/>
          <w:szCs w:val="24"/>
        </w:rPr>
        <w:t>Holte</w:t>
      </w:r>
      <w:proofErr w:type="spellEnd"/>
      <w:r w:rsidRPr="007C624A">
        <w:rPr>
          <w:rFonts w:ascii="Times New Roman" w:hAnsi="Times New Roman"/>
          <w:szCs w:val="24"/>
        </w:rPr>
        <w:t>.</w:t>
      </w:r>
    </w:p>
    <w:p w:rsidR="00F308C6" w:rsidRDefault="00F308C6" w:rsidP="00F308C6">
      <w:pPr>
        <w:tabs>
          <w:tab w:val="left" w:pos="446"/>
          <w:tab w:val="left" w:pos="907"/>
        </w:tabs>
        <w:rPr>
          <w:rFonts w:ascii="Times New Roman" w:hAnsi="Times New Roman"/>
          <w:szCs w:val="24"/>
        </w:rPr>
      </w:pPr>
    </w:p>
    <w:p w:rsidR="00F308C6" w:rsidRPr="007C624A" w:rsidRDefault="00F308C6" w:rsidP="00F308C6">
      <w:pPr>
        <w:tabs>
          <w:tab w:val="left" w:pos="446"/>
          <w:tab w:val="left" w:pos="907"/>
        </w:tabs>
        <w:rPr>
          <w:rFonts w:ascii="Times New Roman" w:hAnsi="Times New Roman"/>
          <w:szCs w:val="24"/>
        </w:rPr>
      </w:pPr>
      <w:r w:rsidRPr="007C624A">
        <w:rPr>
          <w:rFonts w:ascii="Times New Roman" w:hAnsi="Times New Roman"/>
          <w:szCs w:val="24"/>
        </w:rPr>
        <w:t>In addition, White has reached various conclusions regarding announcements by Bema, Garth, and</w:t>
      </w:r>
      <w:r>
        <w:rPr>
          <w:rFonts w:ascii="Times New Roman" w:hAnsi="Times New Roman"/>
          <w:szCs w:val="24"/>
        </w:rPr>
        <w:t xml:space="preserve"> </w:t>
      </w:r>
      <w:r w:rsidRPr="007C624A">
        <w:rPr>
          <w:rFonts w:ascii="Times New Roman" w:hAnsi="Times New Roman"/>
          <w:szCs w:val="24"/>
        </w:rPr>
        <w:t>Vega:</w:t>
      </w:r>
    </w:p>
    <w:p w:rsidR="00F308C6" w:rsidRPr="007C624A" w:rsidRDefault="00F308C6" w:rsidP="00F308C6">
      <w:pPr>
        <w:tabs>
          <w:tab w:val="left" w:pos="446"/>
          <w:tab w:val="left" w:pos="907"/>
        </w:tabs>
        <w:rPr>
          <w:rFonts w:ascii="Times New Roman" w:hAnsi="Times New Roman"/>
          <w:szCs w:val="24"/>
          <w:u w:val="single"/>
        </w:rPr>
      </w:pPr>
      <w:r w:rsidRPr="007C624A">
        <w:rPr>
          <w:rFonts w:ascii="Times New Roman" w:hAnsi="Times New Roman"/>
          <w:szCs w:val="24"/>
          <w:u w:val="single"/>
        </w:rPr>
        <w:lastRenderedPageBreak/>
        <w:t>Announcement</w:t>
      </w:r>
    </w:p>
    <w:p w:rsidR="00F308C6" w:rsidRPr="007C624A" w:rsidRDefault="00F308C6" w:rsidP="00F308C6">
      <w:pPr>
        <w:tabs>
          <w:tab w:val="left" w:pos="446"/>
          <w:tab w:val="left" w:pos="907"/>
        </w:tabs>
        <w:rPr>
          <w:rFonts w:ascii="Times New Roman" w:hAnsi="Times New Roman"/>
          <w:szCs w:val="24"/>
        </w:rPr>
      </w:pPr>
      <w:r w:rsidRPr="007C624A">
        <w:rPr>
          <w:rFonts w:ascii="Times New Roman" w:hAnsi="Times New Roman"/>
          <w:szCs w:val="24"/>
        </w:rPr>
        <w:t>Bema has announced that it will issue debt and use the proceeds to repurchase</w:t>
      </w:r>
      <w:r>
        <w:rPr>
          <w:rFonts w:ascii="Times New Roman" w:hAnsi="Times New Roman"/>
          <w:szCs w:val="24"/>
        </w:rPr>
        <w:t xml:space="preserve"> </w:t>
      </w:r>
      <w:r w:rsidRPr="007C624A">
        <w:rPr>
          <w:rFonts w:ascii="Times New Roman" w:hAnsi="Times New Roman"/>
          <w:szCs w:val="24"/>
        </w:rPr>
        <w:t>shares. As a result of this debt-financed share repurchase program, Bema</w:t>
      </w:r>
      <w:r>
        <w:rPr>
          <w:rFonts w:ascii="Times New Roman" w:hAnsi="Times New Roman"/>
          <w:szCs w:val="24"/>
        </w:rPr>
        <w:t xml:space="preserve"> </w:t>
      </w:r>
      <w:r w:rsidRPr="007C624A">
        <w:rPr>
          <w:rFonts w:ascii="Times New Roman" w:hAnsi="Times New Roman"/>
          <w:szCs w:val="24"/>
        </w:rPr>
        <w:t>indicates that its debt/equity ratio will increase to 0.6 and its before-tax cost of</w:t>
      </w:r>
      <w:r>
        <w:rPr>
          <w:rFonts w:ascii="Times New Roman" w:hAnsi="Times New Roman"/>
          <w:szCs w:val="24"/>
        </w:rPr>
        <w:t xml:space="preserve"> </w:t>
      </w:r>
      <w:r w:rsidRPr="007C624A">
        <w:rPr>
          <w:rFonts w:ascii="Times New Roman" w:hAnsi="Times New Roman"/>
          <w:szCs w:val="24"/>
        </w:rPr>
        <w:t>debt will be 6%.</w:t>
      </w:r>
    </w:p>
    <w:p w:rsidR="00F308C6" w:rsidRDefault="00F308C6" w:rsidP="00F308C6">
      <w:pPr>
        <w:tabs>
          <w:tab w:val="left" w:pos="446"/>
          <w:tab w:val="left" w:pos="907"/>
        </w:tabs>
        <w:rPr>
          <w:rFonts w:ascii="Times New Roman" w:hAnsi="Times New Roman"/>
          <w:szCs w:val="24"/>
        </w:rPr>
      </w:pPr>
    </w:p>
    <w:p w:rsidR="00F308C6" w:rsidRPr="007C624A" w:rsidRDefault="00F308C6" w:rsidP="00F308C6">
      <w:pPr>
        <w:tabs>
          <w:tab w:val="left" w:pos="446"/>
          <w:tab w:val="left" w:pos="907"/>
        </w:tabs>
        <w:rPr>
          <w:rFonts w:ascii="Times New Roman" w:hAnsi="Times New Roman"/>
          <w:szCs w:val="24"/>
          <w:u w:val="single"/>
        </w:rPr>
      </w:pPr>
      <w:r w:rsidRPr="007C624A">
        <w:rPr>
          <w:rFonts w:ascii="Times New Roman" w:hAnsi="Times New Roman"/>
          <w:szCs w:val="24"/>
          <w:u w:val="single"/>
        </w:rPr>
        <w:t>Conclusion</w:t>
      </w:r>
    </w:p>
    <w:p w:rsidR="00F308C6" w:rsidRPr="007C624A" w:rsidRDefault="00F308C6" w:rsidP="00F308C6">
      <w:pPr>
        <w:tabs>
          <w:tab w:val="left" w:pos="446"/>
          <w:tab w:val="left" w:pos="907"/>
        </w:tabs>
        <w:rPr>
          <w:rFonts w:ascii="Times New Roman" w:hAnsi="Times New Roman"/>
          <w:szCs w:val="24"/>
        </w:rPr>
      </w:pPr>
      <w:r w:rsidRPr="007C624A">
        <w:rPr>
          <w:rFonts w:ascii="Times New Roman" w:hAnsi="Times New Roman"/>
          <w:szCs w:val="24"/>
        </w:rPr>
        <w:t>As a result of the announced program, Bema’s total market value should decrease</w:t>
      </w:r>
    </w:p>
    <w:p w:rsidR="00F308C6" w:rsidRPr="007C624A" w:rsidRDefault="00F308C6" w:rsidP="00F308C6">
      <w:pPr>
        <w:tabs>
          <w:tab w:val="left" w:pos="446"/>
          <w:tab w:val="left" w:pos="907"/>
        </w:tabs>
        <w:rPr>
          <w:rFonts w:ascii="Times New Roman" w:hAnsi="Times New Roman"/>
          <w:szCs w:val="24"/>
        </w:rPr>
      </w:pPr>
      <w:proofErr w:type="gramStart"/>
      <w:r w:rsidRPr="007C624A">
        <w:rPr>
          <w:rFonts w:ascii="Times New Roman" w:hAnsi="Times New Roman"/>
          <w:szCs w:val="24"/>
        </w:rPr>
        <w:t>relative</w:t>
      </w:r>
      <w:proofErr w:type="gramEnd"/>
      <w:r w:rsidRPr="007C624A">
        <w:rPr>
          <w:rFonts w:ascii="Times New Roman" w:hAnsi="Times New Roman"/>
          <w:szCs w:val="24"/>
        </w:rPr>
        <w:t xml:space="preserve"> to Aquarius’s.</w:t>
      </w:r>
    </w:p>
    <w:p w:rsidR="00F308C6" w:rsidRDefault="00F308C6" w:rsidP="00F308C6">
      <w:pPr>
        <w:tabs>
          <w:tab w:val="left" w:pos="446"/>
          <w:tab w:val="left" w:pos="907"/>
        </w:tabs>
        <w:rPr>
          <w:rFonts w:ascii="Times New Roman" w:hAnsi="Times New Roman"/>
          <w:szCs w:val="24"/>
        </w:rPr>
      </w:pPr>
    </w:p>
    <w:p w:rsidR="00F308C6" w:rsidRPr="007C624A" w:rsidRDefault="00F308C6" w:rsidP="00F308C6">
      <w:pPr>
        <w:tabs>
          <w:tab w:val="left" w:pos="446"/>
          <w:tab w:val="left" w:pos="907"/>
        </w:tabs>
        <w:rPr>
          <w:rFonts w:ascii="Times New Roman" w:hAnsi="Times New Roman"/>
          <w:szCs w:val="24"/>
          <w:u w:val="single"/>
        </w:rPr>
      </w:pPr>
      <w:r w:rsidRPr="007C624A">
        <w:rPr>
          <w:rFonts w:ascii="Times New Roman" w:hAnsi="Times New Roman"/>
          <w:szCs w:val="24"/>
          <w:u w:val="single"/>
        </w:rPr>
        <w:t>Announcement</w:t>
      </w:r>
    </w:p>
    <w:p w:rsidR="00F308C6" w:rsidRPr="007C624A" w:rsidRDefault="00F308C6" w:rsidP="00F308C6">
      <w:pPr>
        <w:tabs>
          <w:tab w:val="left" w:pos="446"/>
          <w:tab w:val="left" w:pos="907"/>
        </w:tabs>
        <w:rPr>
          <w:rFonts w:ascii="Times New Roman" w:hAnsi="Times New Roman"/>
          <w:szCs w:val="24"/>
        </w:rPr>
      </w:pPr>
      <w:r w:rsidRPr="007C624A">
        <w:rPr>
          <w:rFonts w:ascii="Times New Roman" w:hAnsi="Times New Roman"/>
          <w:szCs w:val="24"/>
        </w:rPr>
        <w:t>Garth has announced that it plans to abandon the prior policy of all-equity</w:t>
      </w:r>
      <w:r>
        <w:rPr>
          <w:rFonts w:ascii="Times New Roman" w:hAnsi="Times New Roman"/>
          <w:szCs w:val="24"/>
        </w:rPr>
        <w:t xml:space="preserve"> </w:t>
      </w:r>
      <w:r w:rsidRPr="007C624A">
        <w:rPr>
          <w:rFonts w:ascii="Times New Roman" w:hAnsi="Times New Roman"/>
          <w:szCs w:val="24"/>
        </w:rPr>
        <w:t>financing by the issuance of £1 million in debt in order to buy back an</w:t>
      </w:r>
      <w:r>
        <w:rPr>
          <w:rFonts w:ascii="Times New Roman" w:hAnsi="Times New Roman"/>
          <w:szCs w:val="24"/>
        </w:rPr>
        <w:t xml:space="preserve"> </w:t>
      </w:r>
      <w:r w:rsidRPr="007C624A">
        <w:rPr>
          <w:rFonts w:ascii="Times New Roman" w:hAnsi="Times New Roman"/>
          <w:szCs w:val="24"/>
        </w:rPr>
        <w:t>equivalent amount of equity. Garth’s before-tax cost of debt is 6%.</w:t>
      </w:r>
    </w:p>
    <w:p w:rsidR="00F308C6" w:rsidRDefault="00F308C6" w:rsidP="00F308C6">
      <w:pPr>
        <w:tabs>
          <w:tab w:val="left" w:pos="446"/>
          <w:tab w:val="left" w:pos="907"/>
        </w:tabs>
        <w:rPr>
          <w:rFonts w:ascii="Times New Roman" w:hAnsi="Times New Roman"/>
          <w:szCs w:val="24"/>
        </w:rPr>
      </w:pPr>
    </w:p>
    <w:p w:rsidR="00F308C6" w:rsidRPr="007C624A" w:rsidRDefault="00F308C6" w:rsidP="00F308C6">
      <w:pPr>
        <w:tabs>
          <w:tab w:val="left" w:pos="446"/>
          <w:tab w:val="left" w:pos="907"/>
        </w:tabs>
        <w:rPr>
          <w:rFonts w:ascii="Times New Roman" w:hAnsi="Times New Roman"/>
          <w:szCs w:val="24"/>
          <w:u w:val="single"/>
        </w:rPr>
      </w:pPr>
      <w:r w:rsidRPr="007C624A">
        <w:rPr>
          <w:rFonts w:ascii="Times New Roman" w:hAnsi="Times New Roman"/>
          <w:szCs w:val="24"/>
          <w:u w:val="single"/>
        </w:rPr>
        <w:t>Conclusion</w:t>
      </w:r>
    </w:p>
    <w:p w:rsidR="00F308C6" w:rsidRPr="007C624A" w:rsidRDefault="00F308C6" w:rsidP="00F308C6">
      <w:pPr>
        <w:tabs>
          <w:tab w:val="left" w:pos="446"/>
          <w:tab w:val="left" w:pos="907"/>
        </w:tabs>
        <w:rPr>
          <w:rFonts w:ascii="Times New Roman" w:hAnsi="Times New Roman"/>
          <w:szCs w:val="24"/>
        </w:rPr>
      </w:pPr>
      <w:r w:rsidRPr="007C624A">
        <w:rPr>
          <w:rFonts w:ascii="Times New Roman" w:hAnsi="Times New Roman"/>
          <w:szCs w:val="24"/>
        </w:rPr>
        <w:t>This change in capital structure is reasonable, but Garth should take care</w:t>
      </w:r>
      <w:r>
        <w:rPr>
          <w:rFonts w:ascii="Times New Roman" w:hAnsi="Times New Roman"/>
          <w:szCs w:val="24"/>
        </w:rPr>
        <w:t xml:space="preserve"> </w:t>
      </w:r>
      <w:r w:rsidRPr="007C624A">
        <w:rPr>
          <w:rFonts w:ascii="Times New Roman" w:hAnsi="Times New Roman"/>
          <w:szCs w:val="24"/>
        </w:rPr>
        <w:t xml:space="preserve">subsequently to maintain a lower D/E ratio than </w:t>
      </w:r>
      <w:proofErr w:type="spellStart"/>
      <w:r w:rsidRPr="007C624A">
        <w:rPr>
          <w:rFonts w:ascii="Times New Roman" w:hAnsi="Times New Roman"/>
          <w:szCs w:val="24"/>
        </w:rPr>
        <w:t>Holte</w:t>
      </w:r>
      <w:proofErr w:type="spellEnd"/>
      <w:r w:rsidRPr="007C624A">
        <w:rPr>
          <w:rFonts w:ascii="Times New Roman" w:hAnsi="Times New Roman"/>
          <w:szCs w:val="24"/>
        </w:rPr>
        <w:t>.</w:t>
      </w:r>
    </w:p>
    <w:p w:rsidR="00F308C6" w:rsidRDefault="00F308C6" w:rsidP="00F308C6">
      <w:pPr>
        <w:tabs>
          <w:tab w:val="left" w:pos="446"/>
          <w:tab w:val="left" w:pos="907"/>
        </w:tabs>
        <w:rPr>
          <w:rFonts w:ascii="Times New Roman" w:hAnsi="Times New Roman"/>
          <w:szCs w:val="24"/>
        </w:rPr>
      </w:pPr>
    </w:p>
    <w:p w:rsidR="00F308C6" w:rsidRPr="007C624A" w:rsidRDefault="00F308C6" w:rsidP="00F308C6">
      <w:pPr>
        <w:tabs>
          <w:tab w:val="left" w:pos="446"/>
          <w:tab w:val="left" w:pos="907"/>
        </w:tabs>
        <w:rPr>
          <w:rFonts w:ascii="Times New Roman" w:hAnsi="Times New Roman"/>
          <w:szCs w:val="24"/>
          <w:u w:val="single"/>
        </w:rPr>
      </w:pPr>
      <w:r w:rsidRPr="007C624A">
        <w:rPr>
          <w:rFonts w:ascii="Times New Roman" w:hAnsi="Times New Roman"/>
          <w:szCs w:val="24"/>
          <w:u w:val="single"/>
        </w:rPr>
        <w:t>Announcement</w:t>
      </w:r>
    </w:p>
    <w:p w:rsidR="00F308C6" w:rsidRPr="007C624A" w:rsidRDefault="00F308C6" w:rsidP="00F308C6">
      <w:pPr>
        <w:tabs>
          <w:tab w:val="left" w:pos="446"/>
          <w:tab w:val="left" w:pos="907"/>
        </w:tabs>
        <w:rPr>
          <w:rFonts w:ascii="Times New Roman" w:hAnsi="Times New Roman"/>
          <w:szCs w:val="24"/>
        </w:rPr>
      </w:pPr>
      <w:r w:rsidRPr="007C624A">
        <w:rPr>
          <w:rFonts w:ascii="Times New Roman" w:hAnsi="Times New Roman"/>
          <w:szCs w:val="24"/>
        </w:rPr>
        <w:t>Vega has announced that it intends to raise capital next year, but is unsure of the</w:t>
      </w:r>
      <w:r>
        <w:rPr>
          <w:rFonts w:ascii="Times New Roman" w:hAnsi="Times New Roman"/>
          <w:szCs w:val="24"/>
        </w:rPr>
        <w:t xml:space="preserve"> </w:t>
      </w:r>
      <w:r w:rsidRPr="007C624A">
        <w:rPr>
          <w:rFonts w:ascii="Times New Roman" w:hAnsi="Times New Roman"/>
          <w:szCs w:val="24"/>
        </w:rPr>
        <w:t>appropriate method of raising capital.</w:t>
      </w:r>
    </w:p>
    <w:p w:rsidR="00F308C6" w:rsidRDefault="00F308C6" w:rsidP="00F308C6">
      <w:pPr>
        <w:tabs>
          <w:tab w:val="left" w:pos="446"/>
          <w:tab w:val="left" w:pos="907"/>
        </w:tabs>
        <w:rPr>
          <w:rFonts w:ascii="Times New Roman" w:hAnsi="Times New Roman"/>
          <w:szCs w:val="24"/>
        </w:rPr>
      </w:pPr>
    </w:p>
    <w:p w:rsidR="00F308C6" w:rsidRPr="007C624A" w:rsidRDefault="00F308C6" w:rsidP="00F308C6">
      <w:pPr>
        <w:tabs>
          <w:tab w:val="left" w:pos="446"/>
          <w:tab w:val="left" w:pos="907"/>
        </w:tabs>
        <w:rPr>
          <w:rFonts w:ascii="Times New Roman" w:hAnsi="Times New Roman"/>
          <w:szCs w:val="24"/>
          <w:u w:val="single"/>
        </w:rPr>
      </w:pPr>
      <w:r w:rsidRPr="007C624A">
        <w:rPr>
          <w:rFonts w:ascii="Times New Roman" w:hAnsi="Times New Roman"/>
          <w:szCs w:val="24"/>
          <w:u w:val="single"/>
        </w:rPr>
        <w:t>Conclusion</w:t>
      </w:r>
    </w:p>
    <w:p w:rsidR="00F308C6" w:rsidRDefault="00F308C6" w:rsidP="00F308C6">
      <w:pPr>
        <w:tabs>
          <w:tab w:val="left" w:pos="446"/>
          <w:tab w:val="left" w:pos="907"/>
        </w:tabs>
        <w:rPr>
          <w:rFonts w:ascii="Times New Roman" w:hAnsi="Times New Roman"/>
          <w:szCs w:val="24"/>
        </w:rPr>
      </w:pPr>
      <w:r w:rsidRPr="007C624A">
        <w:rPr>
          <w:rFonts w:ascii="Times New Roman" w:hAnsi="Times New Roman"/>
          <w:szCs w:val="24"/>
        </w:rPr>
        <w:t>White has concluded that Vega should apply the pecking order theory to determine</w:t>
      </w:r>
      <w:r>
        <w:rPr>
          <w:rFonts w:ascii="Times New Roman" w:hAnsi="Times New Roman"/>
          <w:szCs w:val="24"/>
        </w:rPr>
        <w:t xml:space="preserve"> </w:t>
      </w:r>
      <w:r w:rsidRPr="007C624A">
        <w:rPr>
          <w:rFonts w:ascii="Times New Roman" w:hAnsi="Times New Roman"/>
          <w:szCs w:val="24"/>
        </w:rPr>
        <w:t>the appropriate method of raising capital.</w:t>
      </w:r>
    </w:p>
    <w:p w:rsidR="00F308C6" w:rsidRDefault="00F308C6" w:rsidP="00F308C6">
      <w:pPr>
        <w:tabs>
          <w:tab w:val="left" w:pos="446"/>
          <w:tab w:val="left" w:pos="907"/>
        </w:tabs>
        <w:rPr>
          <w:rFonts w:ascii="Times New Roman" w:hAnsi="Times New Roman"/>
          <w:szCs w:val="24"/>
        </w:rPr>
      </w:pPr>
    </w:p>
    <w:p w:rsidR="00F308C6" w:rsidRPr="00917A66" w:rsidRDefault="00F308C6" w:rsidP="00F308C6">
      <w:pPr>
        <w:tabs>
          <w:tab w:val="left" w:pos="446"/>
          <w:tab w:val="left" w:pos="907"/>
        </w:tabs>
        <w:rPr>
          <w:rFonts w:ascii="Times New Roman" w:hAnsi="Times New Roman"/>
          <w:szCs w:val="24"/>
        </w:rPr>
      </w:pPr>
      <w:r w:rsidRPr="00917A66">
        <w:rPr>
          <w:rFonts w:ascii="Times New Roman" w:hAnsi="Times New Roman"/>
          <w:szCs w:val="24"/>
        </w:rPr>
        <w:t>14. Based on the Modigliani and Miller (MM) propositions with corporate taxes, Aquarius’s WACC</w:t>
      </w:r>
      <w:r>
        <w:rPr>
          <w:rFonts w:ascii="Times New Roman" w:hAnsi="Times New Roman"/>
          <w:szCs w:val="24"/>
        </w:rPr>
        <w:t xml:space="preserve"> </w:t>
      </w:r>
      <w:r w:rsidRPr="00917A66">
        <w:rPr>
          <w:rFonts w:ascii="Times New Roman" w:hAnsi="Times New Roman"/>
          <w:szCs w:val="24"/>
        </w:rPr>
        <w:t>is closest to:</w:t>
      </w:r>
    </w:p>
    <w:p w:rsidR="00F308C6" w:rsidRPr="00917A66" w:rsidRDefault="00F308C6" w:rsidP="00F308C6">
      <w:pPr>
        <w:tabs>
          <w:tab w:val="left" w:pos="446"/>
          <w:tab w:val="left" w:pos="907"/>
        </w:tabs>
        <w:rPr>
          <w:rFonts w:ascii="Times New Roman" w:hAnsi="Times New Roman"/>
          <w:szCs w:val="24"/>
        </w:rPr>
      </w:pPr>
      <w:r w:rsidRPr="00917A66">
        <w:rPr>
          <w:rFonts w:ascii="Times New Roman" w:hAnsi="Times New Roman"/>
          <w:szCs w:val="24"/>
        </w:rPr>
        <w:t>A. 3.38%.</w:t>
      </w:r>
    </w:p>
    <w:p w:rsidR="00F308C6" w:rsidRDefault="00F308C6" w:rsidP="00F308C6">
      <w:pPr>
        <w:tabs>
          <w:tab w:val="left" w:pos="446"/>
          <w:tab w:val="left" w:pos="907"/>
        </w:tabs>
        <w:rPr>
          <w:rFonts w:ascii="Times New Roman" w:hAnsi="Times New Roman"/>
          <w:szCs w:val="24"/>
        </w:rPr>
      </w:pPr>
      <w:r w:rsidRPr="00917A66">
        <w:rPr>
          <w:rFonts w:ascii="Times New Roman" w:hAnsi="Times New Roman"/>
          <w:szCs w:val="24"/>
        </w:rPr>
        <w:t>B. 7.87%.</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C. 11.25%.</w:t>
      </w:r>
    </w:p>
    <w:p w:rsidR="00F308C6" w:rsidRDefault="00F308C6" w:rsidP="00F308C6">
      <w:pPr>
        <w:tabs>
          <w:tab w:val="left" w:pos="446"/>
          <w:tab w:val="left" w:pos="907"/>
        </w:tabs>
        <w:rPr>
          <w:rFonts w:ascii="Times New Roman" w:hAnsi="Times New Roman"/>
          <w:szCs w:val="24"/>
        </w:rPr>
      </w:pP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15. Based on MM propositions with corporate taxes, what is Bema’s weighted average cost of capital</w:t>
      </w:r>
      <w:r>
        <w:rPr>
          <w:rFonts w:ascii="Times New Roman" w:hAnsi="Times New Roman"/>
          <w:szCs w:val="24"/>
        </w:rPr>
        <w:t xml:space="preserve"> </w:t>
      </w:r>
      <w:r w:rsidRPr="000B3273">
        <w:rPr>
          <w:rFonts w:ascii="Times New Roman" w:hAnsi="Times New Roman"/>
          <w:szCs w:val="24"/>
        </w:rPr>
        <w:t>after the completion of its announced debt-financed share repurchase program?</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A. 6.52%.</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B. 7.83%.</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C. 8.88%.</w:t>
      </w:r>
    </w:p>
    <w:p w:rsidR="00F308C6" w:rsidRDefault="00F308C6" w:rsidP="00F308C6">
      <w:pPr>
        <w:tabs>
          <w:tab w:val="left" w:pos="446"/>
          <w:tab w:val="left" w:pos="907"/>
        </w:tabs>
        <w:rPr>
          <w:rFonts w:ascii="Times New Roman" w:hAnsi="Times New Roman"/>
          <w:szCs w:val="24"/>
        </w:rPr>
      </w:pP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16. Based on Exhibit 1 and White’s notes, which of the following is least consistent with White’s</w:t>
      </w:r>
      <w:r>
        <w:rPr>
          <w:rFonts w:ascii="Times New Roman" w:hAnsi="Times New Roman"/>
          <w:szCs w:val="24"/>
        </w:rPr>
        <w:t xml:space="preserve"> </w:t>
      </w:r>
      <w:r w:rsidRPr="000B3273">
        <w:rPr>
          <w:rFonts w:ascii="Times New Roman" w:hAnsi="Times New Roman"/>
          <w:szCs w:val="24"/>
        </w:rPr>
        <w:t>conclusion regarding Bema’s announcement?</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A. Bema’s bonding costs will be higher than Aquarius’s.</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B. Bema will have a lower degree of operating leverage than does Aquarius.</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C. Bema will have a lower percentage of tangible assets to total assets than does Aquarius.</w:t>
      </w:r>
    </w:p>
    <w:p w:rsidR="00F308C6" w:rsidRDefault="00F308C6" w:rsidP="00F308C6">
      <w:pPr>
        <w:tabs>
          <w:tab w:val="left" w:pos="446"/>
          <w:tab w:val="left" w:pos="907"/>
        </w:tabs>
        <w:rPr>
          <w:rFonts w:ascii="Times New Roman" w:hAnsi="Times New Roman"/>
          <w:szCs w:val="24"/>
        </w:rPr>
      </w:pP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lastRenderedPageBreak/>
        <w:t>17. Based on the MM propositions with corporate taxes, Garth’s cost of equity after the debt issuance</w:t>
      </w:r>
      <w:r>
        <w:rPr>
          <w:rFonts w:ascii="Times New Roman" w:hAnsi="Times New Roman"/>
          <w:szCs w:val="24"/>
        </w:rPr>
        <w:t xml:space="preserve"> </w:t>
      </w:r>
      <w:r w:rsidRPr="000B3273">
        <w:rPr>
          <w:rFonts w:ascii="Times New Roman" w:hAnsi="Times New Roman"/>
          <w:szCs w:val="24"/>
        </w:rPr>
        <w:t>is closest to:</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A. 10.00%.</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B. 10.85%.</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C. 11.33%.</w:t>
      </w:r>
    </w:p>
    <w:p w:rsidR="00F308C6" w:rsidRDefault="00F308C6" w:rsidP="00F308C6">
      <w:pPr>
        <w:tabs>
          <w:tab w:val="left" w:pos="446"/>
          <w:tab w:val="left" w:pos="907"/>
        </w:tabs>
        <w:rPr>
          <w:rFonts w:ascii="Times New Roman" w:hAnsi="Times New Roman"/>
          <w:szCs w:val="24"/>
        </w:rPr>
      </w:pP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18. Based on Exhibit 1 and White’s notes, which of the following is most consistent with White’s</w:t>
      </w:r>
      <w:r>
        <w:rPr>
          <w:rFonts w:ascii="Times New Roman" w:hAnsi="Times New Roman"/>
          <w:szCs w:val="24"/>
        </w:rPr>
        <w:t xml:space="preserve"> </w:t>
      </w:r>
      <w:r w:rsidRPr="000B3273">
        <w:rPr>
          <w:rFonts w:ascii="Times New Roman" w:hAnsi="Times New Roman"/>
          <w:szCs w:val="24"/>
        </w:rPr>
        <w:t>conclusion regarding Garth’s announcement?</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 xml:space="preserve">A. Garth has more business risk than does </w:t>
      </w:r>
      <w:proofErr w:type="spellStart"/>
      <w:r w:rsidRPr="000B3273">
        <w:rPr>
          <w:rFonts w:ascii="Times New Roman" w:hAnsi="Times New Roman"/>
          <w:szCs w:val="24"/>
        </w:rPr>
        <w:t>Holte</w:t>
      </w:r>
      <w:proofErr w:type="spellEnd"/>
      <w:r w:rsidRPr="000B3273">
        <w:rPr>
          <w:rFonts w:ascii="Times New Roman" w:hAnsi="Times New Roman"/>
          <w:szCs w:val="24"/>
        </w:rPr>
        <w:t>.</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 xml:space="preserve">B. Garth invests significantly less in research and development than does </w:t>
      </w:r>
      <w:proofErr w:type="spellStart"/>
      <w:r w:rsidRPr="000B3273">
        <w:rPr>
          <w:rFonts w:ascii="Times New Roman" w:hAnsi="Times New Roman"/>
          <w:szCs w:val="24"/>
        </w:rPr>
        <w:t>Holte</w:t>
      </w:r>
      <w:proofErr w:type="spellEnd"/>
      <w:r w:rsidRPr="000B3273">
        <w:rPr>
          <w:rFonts w:ascii="Times New Roman" w:hAnsi="Times New Roman"/>
          <w:szCs w:val="24"/>
        </w:rPr>
        <w:t>.</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 xml:space="preserve">C. Garth has a more highly developed corporate governance system than does </w:t>
      </w:r>
      <w:proofErr w:type="spellStart"/>
      <w:r w:rsidRPr="000B3273">
        <w:rPr>
          <w:rFonts w:ascii="Times New Roman" w:hAnsi="Times New Roman"/>
          <w:szCs w:val="24"/>
        </w:rPr>
        <w:t>Holte</w:t>
      </w:r>
      <w:proofErr w:type="spellEnd"/>
      <w:r w:rsidRPr="000B3273">
        <w:rPr>
          <w:rFonts w:ascii="Times New Roman" w:hAnsi="Times New Roman"/>
          <w:szCs w:val="24"/>
        </w:rPr>
        <w:t>.</w:t>
      </w:r>
    </w:p>
    <w:p w:rsidR="00F308C6" w:rsidRDefault="00F308C6" w:rsidP="00F308C6">
      <w:pPr>
        <w:tabs>
          <w:tab w:val="left" w:pos="446"/>
          <w:tab w:val="left" w:pos="907"/>
        </w:tabs>
        <w:rPr>
          <w:rFonts w:ascii="Times New Roman" w:hAnsi="Times New Roman"/>
          <w:szCs w:val="24"/>
        </w:rPr>
      </w:pP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19. Based on White’s conclusion regarding determining the appropriate method of raising capital,</w:t>
      </w:r>
      <w:r>
        <w:rPr>
          <w:rFonts w:ascii="Times New Roman" w:hAnsi="Times New Roman"/>
          <w:szCs w:val="24"/>
        </w:rPr>
        <w:t xml:space="preserve"> </w:t>
      </w:r>
      <w:r w:rsidRPr="000B3273">
        <w:rPr>
          <w:rFonts w:ascii="Times New Roman" w:hAnsi="Times New Roman"/>
          <w:szCs w:val="24"/>
        </w:rPr>
        <w:t>Vega should raise capital in the following order:</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A. debt, internal financing, equity.</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B. equity, debt, internal financing.</w:t>
      </w:r>
    </w:p>
    <w:p w:rsidR="00F308C6" w:rsidRPr="000B3273" w:rsidRDefault="00F308C6" w:rsidP="00F308C6">
      <w:pPr>
        <w:tabs>
          <w:tab w:val="left" w:pos="446"/>
          <w:tab w:val="left" w:pos="907"/>
        </w:tabs>
        <w:rPr>
          <w:rFonts w:ascii="Times New Roman" w:hAnsi="Times New Roman"/>
          <w:szCs w:val="24"/>
        </w:rPr>
      </w:pPr>
      <w:r w:rsidRPr="000B3273">
        <w:rPr>
          <w:rFonts w:ascii="Times New Roman" w:hAnsi="Times New Roman"/>
          <w:szCs w:val="24"/>
        </w:rPr>
        <w:t>C. internal financing, debt, equity.</w:t>
      </w:r>
    </w:p>
    <w:p w:rsidR="00F308C6" w:rsidRPr="000B3273" w:rsidRDefault="00F308C6" w:rsidP="000B3273">
      <w:pPr>
        <w:tabs>
          <w:tab w:val="left" w:pos="446"/>
          <w:tab w:val="left" w:pos="907"/>
        </w:tabs>
        <w:rPr>
          <w:rFonts w:ascii="Times New Roman" w:hAnsi="Times New Roman"/>
          <w:szCs w:val="24"/>
        </w:rPr>
      </w:pPr>
    </w:p>
    <w:sectPr w:rsidR="00F308C6" w:rsidRPr="000B3273" w:rsidSect="00532F68">
      <w:headerReference w:type="even" r:id="rId7"/>
      <w:headerReference w:type="default" r:id="rId8"/>
      <w:footerReference w:type="default" r:id="rId9"/>
      <w:headerReference w:type="first" r:id="rId10"/>
      <w:footerReference w:type="first" r:id="rId11"/>
      <w:pgSz w:w="12240" w:h="15840"/>
      <w:pgMar w:top="1440" w:right="1800" w:bottom="1440" w:left="1800"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F3A" w:rsidRDefault="00AC1F3A">
      <w:r>
        <w:separator/>
      </w:r>
    </w:p>
  </w:endnote>
  <w:endnote w:type="continuationSeparator" w:id="0">
    <w:p w:rsidR="00AC1F3A" w:rsidRDefault="00AC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99" w:rsidRPr="008D2F3C" w:rsidRDefault="00AC1F3A">
    <w:pPr>
      <w:pStyle w:val="Footer"/>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89B" w:rsidRDefault="00AC1F3A">
    <w:pPr>
      <w:pStyle w:val="Footer"/>
      <w:jc w:val="right"/>
    </w:pPr>
    <w:r>
      <w:fldChar w:fldCharType="begin"/>
    </w:r>
    <w:r>
      <w:instrText xml:space="preserve"> PAGE   \* MERGEFORMAT </w:instrText>
    </w:r>
    <w:r>
      <w:fldChar w:fldCharType="separate"/>
    </w:r>
    <w:r w:rsidR="00203D6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F3A" w:rsidRDefault="00AC1F3A">
      <w:r>
        <w:separator/>
      </w:r>
    </w:p>
  </w:footnote>
  <w:footnote w:type="continuationSeparator" w:id="0">
    <w:p w:rsidR="00AC1F3A" w:rsidRDefault="00AC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99" w:rsidRPr="008D2F3C" w:rsidRDefault="00AC1F3A">
    <w:pPr>
      <w:pStyle w:val="Header"/>
      <w:rPr>
        <w:rFonts w:ascii="Times New Roman" w:hAnsi="Times New Roman"/>
      </w:rPr>
    </w:pPr>
    <w:r w:rsidRPr="008D2F3C">
      <w:rPr>
        <w:rFonts w:ascii="Times New Roman" w:hAnsi="Times New Roman"/>
        <w:i/>
        <w:sz w:val="22"/>
        <w:lang w:val="lt-LT"/>
      </w:rPr>
      <w:t>5 SKYRIUS                       Kapitalo struktūra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99" w:rsidRPr="008D2F3C" w:rsidRDefault="00AC1F3A">
    <w:pPr>
      <w:pStyle w:val="Header"/>
      <w:jc w:val="right"/>
      <w:rPr>
        <w:rFonts w:ascii="Times New Roman" w:hAnsi="Times New Roman"/>
      </w:rPr>
    </w:pPr>
    <w:r w:rsidRPr="008D2F3C">
      <w:rPr>
        <w:rFonts w:ascii="Times New Roman" w:hAnsi="Times New Roman"/>
        <w:i/>
        <w:sz w:val="22"/>
        <w:lang w:val="lt-LT"/>
      </w:rPr>
      <w:t>5 SKYRIUS                       Kapitalo struktūra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B" w:rsidRDefault="00AC1F3A">
    <w:pPr>
      <w:pStyle w:val="Header"/>
      <w:rPr>
        <w:rFonts w:ascii="Times New Roman" w:hAnsi="Times New Roman"/>
        <w:b/>
        <w:sz w:val="26"/>
      </w:rPr>
    </w:pPr>
    <w:r w:rsidRPr="006E5CB6">
      <w:rPr>
        <w:rFonts w:ascii="Times New Roman" w:hAnsi="Times New Roman"/>
        <w:b/>
        <w:sz w:val="26"/>
        <w:lang w:val="lt-LT"/>
      </w:rPr>
      <w:t xml:space="preserve">5 SKYRIUS    </w:t>
    </w:r>
    <w:r w:rsidRPr="00A13688">
      <w:rPr>
        <w:rFonts w:ascii="Times New Roman" w:hAnsi="Times New Roman"/>
        <w:b/>
        <w:i/>
        <w:sz w:val="26"/>
        <w:szCs w:val="26"/>
        <w:lang w:val="lt-LT"/>
      </w:rPr>
      <w:t>Kapitalo struktūra</w:t>
    </w:r>
    <w:r w:rsidRPr="006E5CB6">
      <w:rPr>
        <w:rFonts w:ascii="Times New Roman" w:hAnsi="Times New Roman"/>
        <w:b/>
        <w:sz w:val="26"/>
        <w:lang w:val="lt-L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38"/>
    <w:rsid w:val="00203D6A"/>
    <w:rsid w:val="009D2F5F"/>
    <w:rsid w:val="00AC1F3A"/>
    <w:rsid w:val="00D20038"/>
    <w:rsid w:val="00EF692D"/>
    <w:rsid w:val="00F30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31695A-4BFE-4EB8-999F-B6AD386A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53"/>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C53"/>
    <w:pPr>
      <w:tabs>
        <w:tab w:val="center" w:pos="4320"/>
        <w:tab w:val="right" w:pos="8640"/>
      </w:tabs>
    </w:pPr>
  </w:style>
  <w:style w:type="paragraph" w:styleId="Footer">
    <w:name w:val="footer"/>
    <w:basedOn w:val="Normal"/>
    <w:link w:val="FooterChar"/>
    <w:uiPriority w:val="99"/>
    <w:rsid w:val="006E3C53"/>
    <w:pPr>
      <w:tabs>
        <w:tab w:val="center" w:pos="4320"/>
        <w:tab w:val="right" w:pos="8640"/>
      </w:tabs>
    </w:pPr>
  </w:style>
  <w:style w:type="character" w:styleId="PageNumber">
    <w:name w:val="page number"/>
    <w:basedOn w:val="DefaultParagraphFont"/>
    <w:rsid w:val="006E3C53"/>
  </w:style>
  <w:style w:type="character" w:customStyle="1" w:styleId="FooterChar">
    <w:name w:val="Footer Char"/>
    <w:link w:val="Footer"/>
    <w:uiPriority w:val="99"/>
    <w:rsid w:val="00ED489B"/>
    <w:rPr>
      <w:sz w:val="24"/>
      <w:lang w:val="en-US" w:eastAsia="en-US"/>
    </w:rPr>
  </w:style>
  <w:style w:type="table" w:styleId="TableGrid">
    <w:name w:val="Table Grid"/>
    <w:basedOn w:val="TableNormal"/>
    <w:uiPriority w:val="59"/>
    <w:rsid w:val="00565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AB84F-5786-4B57-B6D3-81BC2C50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11541</Words>
  <Characters>6579</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Пользователь Windows</cp:lastModifiedBy>
  <cp:revision>5</cp:revision>
  <cp:lastPrinted>2004-06-30T21:23:00Z</cp:lastPrinted>
  <dcterms:created xsi:type="dcterms:W3CDTF">2018-10-16T16:36:00Z</dcterms:created>
  <dcterms:modified xsi:type="dcterms:W3CDTF">2018-10-16T16:47:00Z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-1255206721</vt:i4>
  </property>
  <property fmtid="{D5CDD505-2E9C-101B-9397-08002B2CF9AE}" pid="3" name="_AuthorEmail">
    <vt:lpwstr>luckyk13@adelphia.net</vt:lpwstr>
  </property>
  <property fmtid="{D5CDD505-2E9C-101B-9397-08002B2CF9AE}" pid="4" name="_AuthorEmailDisplayName">
    <vt:lpwstr>Kay Johnson</vt:lpwstr>
  </property>
  <property fmtid="{D5CDD505-2E9C-101B-9397-08002B2CF9AE}" pid="5" name="_EmailSubject">
    <vt:lpwstr>Fundamentals - Johnson TB 9-11</vt:lpwstr>
  </property>
  <property fmtid="{D5CDD505-2E9C-101B-9397-08002B2CF9AE}" pid="6" name="_ReviewingToolsShownOnce">
    <vt:lpwstr/>
  </property>
</Properties>
</file>